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660" w:lineRule="exact"/>
        <w:ind w:left="91"/>
        <w:jc w:val="center"/>
        <w:rPr>
          <w:rFonts w:ascii="方正小标宋简体" w:eastAsia="方正小标宋简体"/>
          <w:b w:val="0"/>
          <w:sz w:val="40"/>
          <w:szCs w:val="32"/>
          <w:lang w:eastAsia="zh-CN"/>
        </w:rPr>
      </w:pPr>
      <w:bookmarkStart w:id="0" w:name="_Toc16086"/>
      <w:bookmarkStart w:id="1" w:name="_Toc6894"/>
      <w:bookmarkStart w:id="2" w:name="_Toc17976"/>
      <w:bookmarkStart w:id="3" w:name="_Toc21568"/>
      <w:bookmarkStart w:id="4" w:name="_Toc29854"/>
      <w:bookmarkStart w:id="5" w:name="_Toc526955658"/>
    </w:p>
    <w:p>
      <w:pPr>
        <w:pStyle w:val="2"/>
        <w:spacing w:line="660" w:lineRule="exact"/>
        <w:ind w:left="91"/>
        <w:jc w:val="center"/>
        <w:rPr>
          <w:rFonts w:ascii="方正小标宋简体" w:eastAsia="方正小标宋简体"/>
          <w:b w:val="0"/>
          <w:sz w:val="40"/>
          <w:szCs w:val="32"/>
          <w:lang w:eastAsia="zh-CN"/>
        </w:rPr>
      </w:pPr>
      <w:r>
        <w:rPr>
          <w:rFonts w:hint="eastAsia" w:ascii="方正小标宋简体" w:eastAsia="方正小标宋简体"/>
          <w:b w:val="0"/>
          <w:sz w:val="40"/>
          <w:szCs w:val="32"/>
          <w:lang w:eastAsia="zh-CN"/>
        </w:rPr>
        <w:t>20</w:t>
      </w:r>
      <w:r>
        <w:rPr>
          <w:rFonts w:ascii="方正小标宋简体" w:eastAsia="方正小标宋简体"/>
          <w:b w:val="0"/>
          <w:sz w:val="40"/>
          <w:szCs w:val="32"/>
          <w:lang w:eastAsia="zh-CN"/>
        </w:rPr>
        <w:t>2</w:t>
      </w:r>
      <w:r>
        <w:rPr>
          <w:rFonts w:hint="eastAsia" w:ascii="方正小标宋简体" w:eastAsia="方正小标宋简体"/>
          <w:b w:val="0"/>
          <w:sz w:val="40"/>
          <w:szCs w:val="32"/>
          <w:lang w:val="en-US" w:eastAsia="zh-CN"/>
        </w:rPr>
        <w:t>1</w:t>
      </w:r>
      <w:r>
        <w:rPr>
          <w:rFonts w:hint="eastAsia" w:ascii="方正小标宋简体" w:eastAsia="方正小标宋简体"/>
          <w:b w:val="0"/>
          <w:sz w:val="40"/>
          <w:szCs w:val="32"/>
          <w:lang w:eastAsia="zh-CN"/>
        </w:rPr>
        <w:t>-202</w:t>
      </w:r>
      <w:r>
        <w:rPr>
          <w:rFonts w:hint="eastAsia" w:ascii="方正小标宋简体" w:eastAsia="方正小标宋简体"/>
          <w:b w:val="0"/>
          <w:sz w:val="40"/>
          <w:szCs w:val="32"/>
          <w:lang w:val="en-US" w:eastAsia="zh-CN"/>
        </w:rPr>
        <w:t>2</w:t>
      </w:r>
      <w:r>
        <w:rPr>
          <w:rFonts w:hint="eastAsia" w:ascii="方正小标宋简体" w:eastAsia="方正小标宋简体"/>
          <w:b w:val="0"/>
          <w:sz w:val="40"/>
          <w:szCs w:val="32"/>
          <w:lang w:eastAsia="zh-CN"/>
        </w:rPr>
        <w:t>年软件和信息技术服务业</w:t>
      </w:r>
    </w:p>
    <w:p>
      <w:pPr>
        <w:pStyle w:val="2"/>
        <w:spacing w:line="660" w:lineRule="exact"/>
        <w:ind w:left="91"/>
        <w:jc w:val="center"/>
        <w:rPr>
          <w:rFonts w:ascii="方正小标宋简体" w:eastAsia="方正小标宋简体"/>
          <w:b w:val="0"/>
          <w:sz w:val="40"/>
          <w:szCs w:val="32"/>
          <w:lang w:eastAsia="zh-CN"/>
        </w:rPr>
      </w:pPr>
      <w:r>
        <w:rPr>
          <w:rFonts w:hint="eastAsia" w:ascii="方正小标宋简体" w:eastAsia="方正小标宋简体"/>
          <w:b w:val="0"/>
          <w:sz w:val="40"/>
          <w:szCs w:val="32"/>
          <w:lang w:eastAsia="zh-CN"/>
        </w:rPr>
        <w:t>主要统计指标解释</w:t>
      </w:r>
      <w:bookmarkEnd w:id="0"/>
      <w:bookmarkEnd w:id="1"/>
      <w:bookmarkEnd w:id="2"/>
      <w:bookmarkEnd w:id="3"/>
      <w:bookmarkEnd w:id="4"/>
      <w:bookmarkEnd w:id="5"/>
    </w:p>
    <w:p>
      <w:pPr>
        <w:pStyle w:val="10"/>
        <w:rPr>
          <w:rFonts w:ascii="黑体"/>
          <w:b/>
          <w:sz w:val="32"/>
          <w:lang w:eastAsia="zh-CN"/>
        </w:rPr>
      </w:pPr>
    </w:p>
    <w:p>
      <w:pPr>
        <w:pStyle w:val="8"/>
        <w:spacing w:before="248" w:line="360" w:lineRule="auto"/>
        <w:ind w:left="428"/>
        <w:jc w:val="center"/>
        <w:rPr>
          <w:sz w:val="28"/>
          <w:lang w:eastAsia="zh-CN"/>
        </w:rPr>
      </w:pPr>
      <w:r>
        <w:rPr>
          <w:sz w:val="28"/>
          <w:lang w:eastAsia="zh-CN"/>
        </w:rPr>
        <w:t xml:space="preserve">（一）企业基本情况（电软统企 </w:t>
      </w:r>
      <w:r>
        <w:rPr>
          <w:rFonts w:ascii="Times New Roman" w:eastAsia="Times New Roman"/>
          <w:sz w:val="28"/>
          <w:lang w:eastAsia="zh-CN"/>
        </w:rPr>
        <w:t xml:space="preserve">1 </w:t>
      </w:r>
      <w:r>
        <w:rPr>
          <w:sz w:val="28"/>
          <w:lang w:eastAsia="zh-CN"/>
        </w:rPr>
        <w:t>表）</w:t>
      </w:r>
      <w:bookmarkStart w:id="14" w:name="_GoBack"/>
      <w:bookmarkEnd w:id="14"/>
    </w:p>
    <w:p>
      <w:pPr>
        <w:pStyle w:val="10"/>
        <w:spacing w:before="37" w:line="400" w:lineRule="exact"/>
        <w:ind w:left="116" w:leftChars="53" w:right="207" w:firstLine="413" w:firstLineChars="196"/>
        <w:jc w:val="both"/>
        <w:rPr>
          <w:rFonts w:asciiTheme="minorEastAsia" w:hAnsiTheme="minorEastAsia" w:eastAsiaTheme="minorEastAsia"/>
          <w:lang w:eastAsia="zh-CN"/>
        </w:rPr>
      </w:pPr>
      <w:r>
        <w:rPr>
          <w:rFonts w:hint="eastAsia" w:asciiTheme="minorEastAsia" w:hAnsiTheme="minorEastAsia" w:eastAsiaTheme="minorEastAsia"/>
          <w:b/>
          <w:lang w:eastAsia="zh-CN"/>
        </w:rPr>
        <w:t>1. 组织机构代码</w:t>
      </w:r>
      <w:r>
        <w:rPr>
          <w:rFonts w:asciiTheme="minorEastAsia" w:hAnsiTheme="minorEastAsia" w:eastAsiaTheme="minorEastAsia"/>
          <w:b/>
          <w:lang w:eastAsia="zh-CN"/>
        </w:rPr>
        <w:t>（9位）</w:t>
      </w:r>
      <w:r>
        <w:rPr>
          <w:rFonts w:hint="eastAsia" w:asciiTheme="minorEastAsia" w:hAnsiTheme="minorEastAsia" w:eastAsiaTheme="minorEastAsia"/>
          <w:b/>
          <w:lang w:eastAsia="zh-CN"/>
        </w:rPr>
        <w:t>:</w:t>
      </w:r>
      <w:r>
        <w:rPr>
          <w:rFonts w:asciiTheme="minorEastAsia" w:hAnsiTheme="minorEastAsia" w:eastAsiaTheme="minorEastAsia"/>
          <w:lang w:eastAsia="zh-CN"/>
        </w:rPr>
        <w:t>采用国家统一规定的企业（单位）组织机构代码。组织机构代码共有9位，由8 位无属性的数字和一位校验码组成，企业填报时，要按各级技术监督部门颁发的《中华人民共和国组织机构代码证》上的规定填写，也可参照税务部门颁发的税   务登记证书上的税务登记号后九位填写。</w:t>
      </w:r>
      <w:r>
        <w:rPr>
          <w:rFonts w:hint="eastAsia" w:asciiTheme="minorEastAsia" w:hAnsiTheme="minorEastAsia" w:eastAsiaTheme="minorEastAsia"/>
          <w:lang w:eastAsia="zh-CN"/>
        </w:rPr>
        <w:t>尚未领取统一社会信用代码的法人单位和产业活动单位填写组织机构代码。</w:t>
      </w:r>
    </w:p>
    <w:p>
      <w:pPr>
        <w:spacing w:line="400" w:lineRule="exact"/>
        <w:ind w:firstLine="413" w:firstLineChars="196"/>
        <w:rPr>
          <w:rFonts w:asciiTheme="minorEastAsia" w:hAnsiTheme="minorEastAsia" w:eastAsiaTheme="minorEastAsia"/>
          <w:sz w:val="21"/>
          <w:szCs w:val="21"/>
          <w:lang w:eastAsia="zh-CN"/>
        </w:rPr>
      </w:pPr>
      <w:r>
        <w:rPr>
          <w:rFonts w:hint="eastAsia" w:asciiTheme="minorEastAsia" w:hAnsiTheme="minorEastAsia" w:eastAsiaTheme="minorEastAsia"/>
          <w:b/>
          <w:sz w:val="21"/>
          <w:szCs w:val="21"/>
          <w:lang w:eastAsia="zh-CN"/>
        </w:rPr>
        <w:t>2. 统一社会信用代码（18位）</w:t>
      </w:r>
      <w:r>
        <w:rPr>
          <w:rFonts w:hint="eastAsia" w:cs="黑体" w:asciiTheme="minorEastAsia" w:hAnsiTheme="minorEastAsia" w:eastAsiaTheme="minorEastAsia"/>
          <w:sz w:val="21"/>
          <w:szCs w:val="21"/>
          <w:lang w:eastAsia="zh-CN"/>
        </w:rPr>
        <w:t>:</w:t>
      </w:r>
      <w:r>
        <w:rPr>
          <w:rFonts w:hint="eastAsia" w:asciiTheme="minorEastAsia" w:hAnsiTheme="minorEastAsia" w:eastAsiaTheme="minorEastAsia"/>
          <w:sz w:val="21"/>
          <w:szCs w:val="21"/>
          <w:lang w:eastAsia="zh-CN"/>
        </w:rPr>
        <w:t>指按照《国务院关于批转发展改革委等部门法人和其他组织统一社会信用代码制度建设总体方案的通知》（国发〔2015〕33号）规定，由赋码主管部门给每一个法人单位和其他组织颁发的在全国范围内唯一的、终身不变的法定身份识别码。已经领取统一社会信用代码的法人单位和产业活动单位必须填写统一社会信用代码，无需填写组织机构代码。在填写时，要按照《营业执照》（证书）上的统一社会信用代码填写。</w:t>
      </w:r>
    </w:p>
    <w:p>
      <w:pPr>
        <w:pStyle w:val="10"/>
        <w:spacing w:line="400" w:lineRule="exact"/>
        <w:ind w:left="116" w:leftChars="53" w:right="209" w:firstLine="413" w:firstLineChars="196"/>
        <w:jc w:val="both"/>
        <w:rPr>
          <w:rFonts w:asciiTheme="minorEastAsia" w:hAnsiTheme="minorEastAsia" w:eastAsiaTheme="minorEastAsia"/>
          <w:lang w:eastAsia="zh-CN"/>
        </w:rPr>
      </w:pPr>
      <w:r>
        <w:rPr>
          <w:rFonts w:hint="eastAsia" w:asciiTheme="minorEastAsia" w:hAnsiTheme="minorEastAsia" w:eastAsiaTheme="minorEastAsia"/>
          <w:b/>
          <w:lang w:eastAsia="zh-CN"/>
        </w:rPr>
        <w:t>3. 单位详细名称</w:t>
      </w:r>
      <w:r>
        <w:rPr>
          <w:rFonts w:asciiTheme="minorEastAsia" w:hAnsiTheme="minorEastAsia" w:eastAsiaTheme="minorEastAsia"/>
          <w:b/>
          <w:lang w:eastAsia="zh-CN"/>
        </w:rPr>
        <w:t>：</w:t>
      </w:r>
      <w:r>
        <w:rPr>
          <w:rFonts w:asciiTheme="minorEastAsia" w:hAnsiTheme="minorEastAsia" w:eastAsiaTheme="minorEastAsia"/>
          <w:lang w:eastAsia="zh-CN"/>
        </w:rPr>
        <w:t>企业以年末的企业名称为准，原则按企业公章的详细名称填写，  不要填写简称。凡企业名称更名，而公章暂未换的，可用旧公章代替，但必须在本栏内予以说明。凡企业有几个厂名和公章的，应该在第一名称后填写第二厂名或第三厂名。军工保密企业的“企业名称”应填报本厂的第二名称（即可公开的厂名），不得直接填写保密厂名（即企业番号）。</w:t>
      </w:r>
    </w:p>
    <w:p>
      <w:pPr>
        <w:spacing w:before="10" w:line="400" w:lineRule="exact"/>
        <w:ind w:left="116" w:right="204" w:firstLine="420"/>
        <w:rPr>
          <w:rFonts w:asciiTheme="minorEastAsia" w:hAnsiTheme="minorEastAsia" w:eastAsiaTheme="minorEastAsia"/>
          <w:sz w:val="21"/>
          <w:szCs w:val="21"/>
          <w:lang w:eastAsia="zh-CN"/>
        </w:rPr>
      </w:pPr>
      <w:r>
        <w:rPr>
          <w:rFonts w:hint="eastAsia" w:asciiTheme="minorEastAsia" w:hAnsiTheme="minorEastAsia" w:eastAsiaTheme="minorEastAsia"/>
          <w:b/>
          <w:sz w:val="21"/>
          <w:szCs w:val="21"/>
          <w:lang w:eastAsia="zh-CN"/>
        </w:rPr>
        <w:t>4. 软件和信息技术服务业行业代码</w:t>
      </w:r>
      <w:r>
        <w:rPr>
          <w:rFonts w:asciiTheme="minorEastAsia" w:hAnsiTheme="minorEastAsia" w:eastAsiaTheme="minorEastAsia"/>
          <w:b/>
          <w:sz w:val="21"/>
          <w:szCs w:val="21"/>
          <w:lang w:eastAsia="zh-CN"/>
        </w:rPr>
        <w:t>（5 位）：</w:t>
      </w:r>
      <w:r>
        <w:rPr>
          <w:rFonts w:asciiTheme="minorEastAsia" w:hAnsiTheme="minorEastAsia" w:eastAsiaTheme="minorEastAsia"/>
          <w:sz w:val="21"/>
          <w:szCs w:val="21"/>
          <w:lang w:eastAsia="zh-CN"/>
        </w:rPr>
        <w:t>由五位码组成，具体编码填写，按照《附录一 软件和信息技术服务业行业分类</w:t>
      </w:r>
      <w:r>
        <w:rPr>
          <w:rFonts w:hint="eastAsia" w:asciiTheme="minorEastAsia" w:hAnsiTheme="minorEastAsia" w:eastAsiaTheme="minorEastAsia"/>
          <w:sz w:val="21"/>
          <w:szCs w:val="21"/>
          <w:lang w:eastAsia="zh-CN"/>
        </w:rPr>
        <w:t>表</w:t>
      </w:r>
      <w:r>
        <w:rPr>
          <w:rFonts w:asciiTheme="minorEastAsia" w:hAnsiTheme="minorEastAsia" w:eastAsiaTheme="minorEastAsia"/>
          <w:sz w:val="21"/>
          <w:szCs w:val="21"/>
          <w:lang w:eastAsia="zh-CN"/>
        </w:rPr>
        <w:t>》编码填写。</w:t>
      </w:r>
    </w:p>
    <w:p>
      <w:pPr>
        <w:pStyle w:val="10"/>
        <w:spacing w:before="22" w:line="400" w:lineRule="exact"/>
        <w:ind w:left="116" w:right="204" w:firstLine="480"/>
        <w:rPr>
          <w:rFonts w:asciiTheme="minorEastAsia" w:hAnsiTheme="minorEastAsia" w:eastAsiaTheme="minorEastAsia"/>
          <w:lang w:eastAsia="zh-CN"/>
        </w:rPr>
      </w:pPr>
      <w:r>
        <w:rPr>
          <w:rFonts w:asciiTheme="minorEastAsia" w:hAnsiTheme="minorEastAsia" w:eastAsiaTheme="minorEastAsia"/>
          <w:lang w:eastAsia="zh-CN"/>
        </w:rPr>
        <w:t>企业填写行业分类时的要求：一是，企业行业的划分，主要依据企业的主导产品(业务) 或主要传统产品来划分；二是，企业的行业划分要保持一定时期的相对稳定。</w:t>
      </w:r>
    </w:p>
    <w:p>
      <w:pPr>
        <w:spacing w:line="400" w:lineRule="exact"/>
        <w:ind w:firstLine="599" w:firstLineChars="300"/>
        <w:rPr>
          <w:rFonts w:ascii="黑体" w:eastAsia="黑体"/>
          <w:b/>
          <w:w w:val="95"/>
          <w:sz w:val="21"/>
          <w:lang w:eastAsia="zh-CN"/>
        </w:rPr>
      </w:pPr>
      <w:r>
        <w:rPr>
          <w:rFonts w:hint="eastAsia" w:ascii="黑体" w:eastAsia="黑体"/>
          <w:b/>
          <w:w w:val="95"/>
          <w:sz w:val="21"/>
          <w:lang w:eastAsia="zh-CN"/>
        </w:rPr>
        <w:t>5．主要代表业务（产品）和应用或服务领域</w:t>
      </w:r>
    </w:p>
    <w:p>
      <w:pPr>
        <w:pStyle w:val="10"/>
        <w:spacing w:before="47" w:line="400" w:lineRule="exact"/>
        <w:ind w:left="104" w:right="163" w:firstLine="376"/>
        <w:jc w:val="both"/>
        <w:rPr>
          <w:spacing w:val="-7"/>
          <w:lang w:eastAsia="zh-CN"/>
        </w:rPr>
      </w:pPr>
      <w:r>
        <w:rPr>
          <w:rFonts w:hint="eastAsia"/>
          <w:spacing w:val="-7"/>
          <w:lang w:eastAsia="zh-CN"/>
        </w:rPr>
        <w:t>企业</w:t>
      </w:r>
      <w:r>
        <w:rPr>
          <w:spacing w:val="-7"/>
          <w:lang w:eastAsia="zh-CN"/>
        </w:rPr>
        <w:t>根据本报告年度内实际开展的业务情况进行填报。“代表业务（产品）”是指获得的软件业务收入占比或重要程度从高到低的业务，至少填写一种，</w:t>
      </w:r>
      <w:r>
        <w:rPr>
          <w:rFonts w:hint="eastAsia"/>
          <w:spacing w:val="-7"/>
          <w:lang w:eastAsia="zh-CN"/>
        </w:rPr>
        <w:t>最多填写三种，</w:t>
      </w:r>
      <w:r>
        <w:rPr>
          <w:spacing w:val="-7"/>
          <w:lang w:eastAsia="zh-CN"/>
        </w:rPr>
        <w:t>填写的名称要尽量详实，便于主管部门了解企业经营活动情况，不可填写软件产品、软件技术服务</w:t>
      </w:r>
      <w:r>
        <w:rPr>
          <w:rFonts w:hint="eastAsia"/>
          <w:spacing w:val="-7"/>
          <w:lang w:eastAsia="zh-CN"/>
        </w:rPr>
        <w:t>等</w:t>
      </w:r>
      <w:r>
        <w:rPr>
          <w:spacing w:val="-7"/>
          <w:lang w:eastAsia="zh-CN"/>
        </w:rPr>
        <w:t>大类名称。</w:t>
      </w:r>
    </w:p>
    <w:p>
      <w:pPr>
        <w:pStyle w:val="10"/>
        <w:spacing w:before="47" w:line="360" w:lineRule="auto"/>
        <w:ind w:left="104" w:right="163" w:firstLine="376"/>
        <w:jc w:val="both"/>
        <w:rPr>
          <w:spacing w:val="-7"/>
          <w:lang w:eastAsia="zh-CN"/>
        </w:rPr>
      </w:pPr>
      <w:r>
        <w:rPr>
          <w:spacing w:val="-7"/>
          <w:lang w:eastAsia="zh-CN"/>
        </w:rPr>
        <w:t>“主要应用或服务领域”由企业根据开展业务的类型，从以下选项中选择。</w:t>
      </w:r>
    </w:p>
    <w:p>
      <w:pPr>
        <w:pStyle w:val="10"/>
        <w:spacing w:before="47" w:line="360" w:lineRule="auto"/>
        <w:ind w:left="104" w:right="163" w:firstLine="376"/>
        <w:jc w:val="both"/>
        <w:rPr>
          <w:spacing w:val="-7"/>
          <w:lang w:eastAsia="zh-CN"/>
        </w:rPr>
      </w:pPr>
      <w:r>
        <w:rPr>
          <w:spacing w:val="-7"/>
          <w:lang w:eastAsia="zh-CN"/>
        </w:rPr>
        <w:t>（</w:t>
      </w:r>
      <w:r>
        <w:rPr>
          <w:rFonts w:hint="eastAsia"/>
          <w:spacing w:val="-7"/>
          <w:lang w:eastAsia="zh-CN"/>
        </w:rPr>
        <w:t>1</w:t>
      </w:r>
      <w:r>
        <w:rPr>
          <w:spacing w:val="-7"/>
          <w:lang w:eastAsia="zh-CN"/>
        </w:rPr>
        <w:t>）通用：指各种基础类、工具类软件、中间件、数据处理、设计开发、运维支持及咨询   服务等不特定用于某些应用领域的软件、集成和服务。</w:t>
      </w:r>
    </w:p>
    <w:p>
      <w:pPr>
        <w:pStyle w:val="10"/>
        <w:spacing w:before="47" w:line="360" w:lineRule="auto"/>
        <w:ind w:left="104" w:right="163" w:firstLine="376"/>
        <w:jc w:val="both"/>
        <w:rPr>
          <w:spacing w:val="-7"/>
          <w:lang w:eastAsia="zh-CN"/>
        </w:rPr>
      </w:pPr>
      <w:r>
        <w:rPr>
          <w:spacing w:val="-7"/>
          <w:lang w:eastAsia="zh-CN"/>
        </w:rPr>
        <w:t>（2）安全：指各种用于安全防护的软件、集成和相关服务。</w:t>
      </w:r>
    </w:p>
    <w:p>
      <w:pPr>
        <w:pStyle w:val="10"/>
        <w:spacing w:before="1" w:line="360" w:lineRule="auto"/>
        <w:ind w:left="104" w:right="330" w:firstLine="376"/>
        <w:jc w:val="both"/>
        <w:rPr>
          <w:lang w:eastAsia="zh-CN"/>
        </w:rPr>
      </w:pPr>
      <w:r>
        <w:rPr>
          <w:lang w:eastAsia="zh-CN"/>
        </w:rPr>
        <w:t>（</w:t>
      </w:r>
      <w:r>
        <w:rPr>
          <w:rFonts w:hint="eastAsia"/>
          <w:lang w:eastAsia="zh-CN"/>
        </w:rPr>
        <w:t>3</w:t>
      </w:r>
      <w:r>
        <w:rPr>
          <w:lang w:eastAsia="zh-CN"/>
        </w:rPr>
        <w:t>）企业管理：指各种用于企业管理、办公自动化、财务管理、生产过程管理等的软件、集成及服务。</w:t>
      </w:r>
    </w:p>
    <w:p>
      <w:pPr>
        <w:pStyle w:val="10"/>
        <w:spacing w:before="47" w:line="360" w:lineRule="auto"/>
        <w:ind w:left="480"/>
        <w:jc w:val="both"/>
        <w:rPr>
          <w:lang w:eastAsia="zh-CN"/>
        </w:rPr>
      </w:pPr>
      <w:r>
        <w:rPr>
          <w:lang w:eastAsia="zh-CN"/>
        </w:rPr>
        <w:t>（</w:t>
      </w:r>
      <w:r>
        <w:rPr>
          <w:rFonts w:hint="eastAsia"/>
          <w:lang w:eastAsia="zh-CN"/>
        </w:rPr>
        <w:t>4</w:t>
      </w:r>
      <w:r>
        <w:rPr>
          <w:lang w:eastAsia="zh-CN"/>
        </w:rPr>
        <w:t>）通信：指各种用于通信领域的软件、集成和相关服务。</w:t>
      </w:r>
    </w:p>
    <w:p>
      <w:pPr>
        <w:pStyle w:val="10"/>
        <w:spacing w:line="360" w:lineRule="auto"/>
        <w:ind w:left="480"/>
        <w:jc w:val="both"/>
        <w:rPr>
          <w:lang w:eastAsia="zh-CN"/>
        </w:rPr>
      </w:pPr>
      <w:r>
        <w:rPr>
          <w:lang w:eastAsia="zh-CN"/>
        </w:rPr>
        <w:t>（</w:t>
      </w:r>
      <w:r>
        <w:rPr>
          <w:rFonts w:hint="eastAsia"/>
          <w:lang w:eastAsia="zh-CN"/>
        </w:rPr>
        <w:t>5</w:t>
      </w:r>
      <w:r>
        <w:rPr>
          <w:lang w:eastAsia="zh-CN"/>
        </w:rPr>
        <w:t>）金融：指各种用于金融领域的软件、集成和相关服务。</w:t>
      </w:r>
    </w:p>
    <w:p>
      <w:pPr>
        <w:pStyle w:val="10"/>
        <w:spacing w:line="360" w:lineRule="auto"/>
        <w:ind w:left="104" w:right="159" w:firstLine="376"/>
        <w:jc w:val="both"/>
        <w:rPr>
          <w:lang w:eastAsia="zh-CN"/>
        </w:rPr>
      </w:pPr>
      <w:r>
        <w:rPr>
          <w:spacing w:val="2"/>
          <w:lang w:eastAsia="zh-CN"/>
        </w:rPr>
        <w:t>（</w:t>
      </w:r>
      <w:r>
        <w:rPr>
          <w:rFonts w:hint="eastAsia"/>
          <w:spacing w:val="2"/>
          <w:lang w:eastAsia="zh-CN"/>
        </w:rPr>
        <w:t>6</w:t>
      </w:r>
      <w:r>
        <w:rPr>
          <w:spacing w:val="2"/>
          <w:lang w:eastAsia="zh-CN"/>
        </w:rPr>
        <w:t>）能源（含电力</w:t>
      </w:r>
      <w:r>
        <w:rPr>
          <w:spacing w:val="-101"/>
          <w:lang w:eastAsia="zh-CN"/>
        </w:rPr>
        <w:t>）</w:t>
      </w:r>
      <w:r>
        <w:rPr>
          <w:spacing w:val="2"/>
          <w:lang w:eastAsia="zh-CN"/>
        </w:rPr>
        <w:t>：指各种用于能源（含电力）</w:t>
      </w:r>
      <w:r>
        <w:rPr>
          <w:spacing w:val="1"/>
          <w:lang w:eastAsia="zh-CN"/>
        </w:rPr>
        <w:t>生产、控制、管理领域的软件、集成和相关服务。</w:t>
      </w:r>
    </w:p>
    <w:p>
      <w:pPr>
        <w:pStyle w:val="10"/>
        <w:spacing w:line="360" w:lineRule="auto"/>
        <w:ind w:left="480"/>
        <w:jc w:val="both"/>
        <w:rPr>
          <w:lang w:eastAsia="zh-CN"/>
        </w:rPr>
      </w:pPr>
      <w:r>
        <w:rPr>
          <w:lang w:eastAsia="zh-CN"/>
        </w:rPr>
        <w:t>（</w:t>
      </w:r>
      <w:r>
        <w:rPr>
          <w:rFonts w:hint="eastAsia"/>
          <w:lang w:eastAsia="zh-CN"/>
        </w:rPr>
        <w:t>7</w:t>
      </w:r>
      <w:r>
        <w:rPr>
          <w:lang w:eastAsia="zh-CN"/>
        </w:rPr>
        <w:t>）交通：指各种用于公路、铁路、航空领域和交通工具上的软件、集成和相关服务。</w:t>
      </w:r>
    </w:p>
    <w:p>
      <w:pPr>
        <w:pStyle w:val="10"/>
        <w:spacing w:before="1" w:line="360" w:lineRule="auto"/>
        <w:ind w:left="480"/>
        <w:jc w:val="both"/>
        <w:rPr>
          <w:lang w:eastAsia="zh-CN"/>
        </w:rPr>
      </w:pPr>
      <w:r>
        <w:rPr>
          <w:lang w:eastAsia="zh-CN"/>
        </w:rPr>
        <w:t>（</w:t>
      </w:r>
      <w:r>
        <w:rPr>
          <w:rFonts w:hint="eastAsia"/>
          <w:lang w:eastAsia="zh-CN"/>
        </w:rPr>
        <w:t>8</w:t>
      </w:r>
      <w:r>
        <w:rPr>
          <w:lang w:eastAsia="zh-CN"/>
        </w:rPr>
        <w:t>）教育：指各种用于教育领域的软件、集成和相关服务。</w:t>
      </w:r>
    </w:p>
    <w:p>
      <w:pPr>
        <w:pStyle w:val="10"/>
        <w:spacing w:line="360" w:lineRule="auto"/>
        <w:ind w:left="480"/>
        <w:jc w:val="both"/>
        <w:rPr>
          <w:lang w:eastAsia="zh-CN"/>
        </w:rPr>
      </w:pPr>
      <w:r>
        <w:rPr>
          <w:lang w:eastAsia="zh-CN"/>
        </w:rPr>
        <w:t>（</w:t>
      </w:r>
      <w:r>
        <w:rPr>
          <w:rFonts w:hint="eastAsia"/>
          <w:lang w:eastAsia="zh-CN"/>
        </w:rPr>
        <w:t>9</w:t>
      </w:r>
      <w:r>
        <w:rPr>
          <w:lang w:eastAsia="zh-CN"/>
        </w:rPr>
        <w:t>）娱乐：指各种用于娱乐的软件、集成和相关服务。</w:t>
      </w:r>
    </w:p>
    <w:p>
      <w:pPr>
        <w:pStyle w:val="10"/>
        <w:spacing w:before="1" w:line="360" w:lineRule="auto"/>
        <w:ind w:left="480"/>
        <w:jc w:val="both"/>
        <w:rPr>
          <w:lang w:eastAsia="zh-CN"/>
        </w:rPr>
      </w:pPr>
      <w:r>
        <w:rPr>
          <w:lang w:eastAsia="zh-CN"/>
        </w:rPr>
        <w:t>（1</w:t>
      </w:r>
      <w:r>
        <w:rPr>
          <w:rFonts w:hint="eastAsia"/>
          <w:lang w:eastAsia="zh-CN"/>
        </w:rPr>
        <w:t>0</w:t>
      </w:r>
      <w:r>
        <w:rPr>
          <w:lang w:eastAsia="zh-CN"/>
        </w:rPr>
        <w:t>）医疗：指各种用于医疗卫生领域的软件、集成和相关服务。</w:t>
      </w:r>
    </w:p>
    <w:p>
      <w:pPr>
        <w:pStyle w:val="10"/>
        <w:spacing w:line="360" w:lineRule="auto"/>
        <w:ind w:left="480"/>
        <w:jc w:val="both"/>
        <w:rPr>
          <w:lang w:eastAsia="zh-CN"/>
        </w:rPr>
      </w:pPr>
      <w:r>
        <w:rPr>
          <w:lang w:eastAsia="zh-CN"/>
        </w:rPr>
        <w:t>（1</w:t>
      </w:r>
      <w:r>
        <w:rPr>
          <w:rFonts w:hint="eastAsia"/>
          <w:lang w:eastAsia="zh-CN"/>
        </w:rPr>
        <w:t>1</w:t>
      </w:r>
      <w:r>
        <w:rPr>
          <w:lang w:eastAsia="zh-CN"/>
        </w:rPr>
        <w:t>）电子商务：指各种用于支持电子商务平台的软件、集成和相关服务。</w:t>
      </w:r>
    </w:p>
    <w:p>
      <w:pPr>
        <w:pStyle w:val="10"/>
        <w:spacing w:line="360" w:lineRule="auto"/>
        <w:ind w:left="480"/>
        <w:jc w:val="both"/>
        <w:rPr>
          <w:lang w:eastAsia="zh-CN"/>
        </w:rPr>
      </w:pPr>
      <w:r>
        <w:rPr>
          <w:lang w:eastAsia="zh-CN"/>
        </w:rPr>
        <w:t>（</w:t>
      </w:r>
      <w:r>
        <w:rPr>
          <w:rFonts w:hint="eastAsia"/>
          <w:lang w:eastAsia="zh-CN"/>
        </w:rPr>
        <w:t>12</w:t>
      </w:r>
      <w:r>
        <w:rPr>
          <w:lang w:eastAsia="zh-CN"/>
        </w:rPr>
        <w:t>）电子政务：指各种用于电子政务的软件、集成和相关服务。</w:t>
      </w:r>
    </w:p>
    <w:p>
      <w:pPr>
        <w:pStyle w:val="10"/>
        <w:spacing w:before="47" w:line="360" w:lineRule="auto"/>
        <w:ind w:left="480"/>
        <w:jc w:val="both"/>
        <w:rPr>
          <w:lang w:eastAsia="zh-CN"/>
        </w:rPr>
      </w:pPr>
      <w:r>
        <w:rPr>
          <w:lang w:eastAsia="zh-CN"/>
        </w:rPr>
        <w:t>（</w:t>
      </w:r>
      <w:r>
        <w:rPr>
          <w:rFonts w:hint="eastAsia"/>
          <w:lang w:eastAsia="zh-CN"/>
        </w:rPr>
        <w:t>13</w:t>
      </w:r>
      <w:r>
        <w:rPr>
          <w:lang w:eastAsia="zh-CN"/>
        </w:rPr>
        <w:t>）工业</w:t>
      </w:r>
      <w:r>
        <w:rPr>
          <w:rFonts w:hint="eastAsia"/>
          <w:lang w:eastAsia="zh-CN"/>
        </w:rPr>
        <w:t>设计和</w:t>
      </w:r>
      <w:r>
        <w:rPr>
          <w:lang w:eastAsia="zh-CN"/>
        </w:rPr>
        <w:t>控制：指各种用于</w:t>
      </w:r>
      <w:r>
        <w:rPr>
          <w:rFonts w:hint="eastAsia"/>
          <w:lang w:eastAsia="zh-CN"/>
        </w:rPr>
        <w:t>工业研发设计和</w:t>
      </w:r>
      <w:r>
        <w:rPr>
          <w:lang w:eastAsia="zh-CN"/>
        </w:rPr>
        <w:t>工业生产控制领域的软件、集成和相关服务。</w:t>
      </w:r>
    </w:p>
    <w:p>
      <w:pPr>
        <w:pStyle w:val="10"/>
        <w:spacing w:line="360" w:lineRule="auto"/>
        <w:ind w:left="480"/>
        <w:jc w:val="both"/>
        <w:rPr>
          <w:rFonts w:asciiTheme="minorEastAsia" w:hAnsiTheme="minorEastAsia" w:eastAsiaTheme="minorEastAsia"/>
          <w:lang w:eastAsia="zh-CN"/>
        </w:rPr>
      </w:pPr>
      <w:r>
        <w:rPr>
          <w:rFonts w:hint="eastAsia"/>
          <w:lang w:eastAsia="zh-CN"/>
        </w:rPr>
        <w:t>（14）汽车电子：指各种用于汽车电子领域的软件、集成和相关服务。</w:t>
      </w:r>
    </w:p>
    <w:p>
      <w:pPr>
        <w:pStyle w:val="10"/>
        <w:spacing w:before="7" w:line="400" w:lineRule="exact"/>
        <w:ind w:left="116" w:right="86" w:firstLine="480"/>
        <w:rPr>
          <w:rFonts w:asciiTheme="minorEastAsia" w:hAnsiTheme="minorEastAsia" w:eastAsiaTheme="minorEastAsia"/>
          <w:lang w:eastAsia="zh-CN"/>
        </w:rPr>
      </w:pPr>
      <w:r>
        <w:rPr>
          <w:rFonts w:hint="eastAsia" w:asciiTheme="minorEastAsia" w:hAnsiTheme="minorEastAsia" w:eastAsiaTheme="minorEastAsia"/>
          <w:b/>
          <w:lang w:eastAsia="zh-CN"/>
        </w:rPr>
        <w:t>6. 单位地址及区划代码：</w:t>
      </w:r>
      <w:r>
        <w:rPr>
          <w:rFonts w:asciiTheme="minorEastAsia" w:hAnsiTheme="minorEastAsia" w:eastAsiaTheme="minorEastAsia"/>
          <w:lang w:eastAsia="zh-CN"/>
        </w:rPr>
        <w:t>指当地邮政部门认可的单位所在地址。应包括乡（区、镇、街）、村名称和门牌号。如果本企业所属的若干个车间或分厂设在不同的地址，以厂部所在地的地址为准。区划代码和城乡代码，根据统计用区划代码和城乡划分代码》中规定的代码填写。</w:t>
      </w:r>
    </w:p>
    <w:p>
      <w:pPr>
        <w:pStyle w:val="10"/>
        <w:spacing w:before="7" w:line="400" w:lineRule="exact"/>
        <w:ind w:left="116" w:right="204" w:firstLine="480"/>
        <w:rPr>
          <w:rFonts w:asciiTheme="minorEastAsia" w:hAnsiTheme="minorEastAsia" w:eastAsiaTheme="minorEastAsia"/>
          <w:lang w:eastAsia="zh-CN"/>
        </w:rPr>
      </w:pPr>
      <w:r>
        <w:rPr>
          <w:rFonts w:hint="eastAsia" w:asciiTheme="minorEastAsia" w:hAnsiTheme="minorEastAsia" w:eastAsiaTheme="minorEastAsia"/>
          <w:b/>
          <w:lang w:eastAsia="zh-CN"/>
        </w:rPr>
        <w:t>7. 单位规模代码</w:t>
      </w:r>
      <w:r>
        <w:rPr>
          <w:rFonts w:asciiTheme="minorEastAsia" w:hAnsiTheme="minorEastAsia" w:eastAsiaTheme="minorEastAsia"/>
          <w:b/>
          <w:lang w:eastAsia="zh-CN"/>
        </w:rPr>
        <w:t>（1 位）</w:t>
      </w:r>
      <w:r>
        <w:rPr>
          <w:rFonts w:asciiTheme="minorEastAsia" w:hAnsiTheme="minorEastAsia" w:eastAsiaTheme="minorEastAsia"/>
          <w:lang w:eastAsia="zh-CN"/>
        </w:rPr>
        <w:t>：根据“国家统计局关于印发《统计上大中小微型企业划分办法》的通知（国统字[2011]75 号）”的划分标准执行（详见本制度附录部分）</w:t>
      </w:r>
      <w:r>
        <w:rPr>
          <w:rFonts w:hint="eastAsia" w:asciiTheme="minorEastAsia" w:hAnsiTheme="minorEastAsia" w:eastAsiaTheme="minorEastAsia"/>
          <w:lang w:eastAsia="zh-CN"/>
        </w:rPr>
        <w:t>，不需企业填报，</w:t>
      </w:r>
      <w:r>
        <w:rPr>
          <w:rFonts w:hint="eastAsia"/>
          <w:lang w:eastAsia="zh-CN"/>
        </w:rPr>
        <w:t>由各级统计机构待相关报表数据确认后计算取得</w:t>
      </w:r>
      <w:r>
        <w:rPr>
          <w:rFonts w:asciiTheme="minorEastAsia" w:hAnsiTheme="minorEastAsia" w:eastAsiaTheme="minorEastAsia"/>
          <w:lang w:eastAsia="zh-CN"/>
        </w:rPr>
        <w:t>。</w:t>
      </w:r>
    </w:p>
    <w:p>
      <w:pPr>
        <w:pStyle w:val="10"/>
        <w:spacing w:before="5" w:line="400" w:lineRule="exact"/>
        <w:ind w:left="116" w:right="204" w:firstLine="480"/>
        <w:rPr>
          <w:rFonts w:asciiTheme="minorEastAsia" w:hAnsiTheme="minorEastAsia" w:eastAsiaTheme="minorEastAsia"/>
          <w:lang w:eastAsia="zh-CN"/>
        </w:rPr>
      </w:pPr>
      <w:r>
        <w:rPr>
          <w:rFonts w:hint="eastAsia" w:asciiTheme="minorEastAsia" w:hAnsiTheme="minorEastAsia" w:eastAsiaTheme="minorEastAsia"/>
          <w:b/>
          <w:lang w:eastAsia="zh-CN"/>
        </w:rPr>
        <w:t>8. 法定代表人</w:t>
      </w:r>
      <w:r>
        <w:rPr>
          <w:rFonts w:hint="eastAsia" w:asciiTheme="minorEastAsia" w:hAnsiTheme="minorEastAsia" w:eastAsiaTheme="minorEastAsia"/>
          <w:lang w:eastAsia="zh-CN"/>
        </w:rPr>
        <w:t>：</w:t>
      </w:r>
      <w:r>
        <w:rPr>
          <w:rFonts w:asciiTheme="minorEastAsia" w:hAnsiTheme="minorEastAsia" w:eastAsiaTheme="minorEastAsia"/>
          <w:lang w:eastAsia="zh-CN"/>
        </w:rPr>
        <w:t>指企业法定代表人。企业按《企业法人营业执照》填写。如有特殊原因可填企业现负责人。</w:t>
      </w:r>
    </w:p>
    <w:p>
      <w:pPr>
        <w:pStyle w:val="10"/>
        <w:spacing w:before="5" w:line="400" w:lineRule="exact"/>
        <w:ind w:left="116" w:right="204" w:firstLine="480"/>
        <w:rPr>
          <w:rFonts w:asciiTheme="minorEastAsia" w:hAnsiTheme="minorEastAsia" w:eastAsiaTheme="minorEastAsia"/>
          <w:b/>
          <w:lang w:eastAsia="zh-CN"/>
        </w:rPr>
      </w:pPr>
      <w:r>
        <w:rPr>
          <w:rFonts w:hint="eastAsia" w:asciiTheme="minorEastAsia" w:hAnsiTheme="minorEastAsia" w:eastAsiaTheme="minorEastAsia"/>
          <w:b/>
          <w:lang w:eastAsia="zh-CN"/>
        </w:rPr>
        <w:t>9. 开业时间</w:t>
      </w:r>
      <w:r>
        <w:rPr>
          <w:rFonts w:asciiTheme="minorEastAsia" w:hAnsiTheme="minorEastAsia" w:eastAsiaTheme="minorEastAsia"/>
          <w:b/>
          <w:lang w:eastAsia="zh-CN"/>
        </w:rPr>
        <w:t>：</w:t>
      </w:r>
      <w:r>
        <w:rPr>
          <w:rFonts w:asciiTheme="minorEastAsia" w:hAnsiTheme="minorEastAsia" w:eastAsiaTheme="minorEastAsia"/>
          <w:lang w:eastAsia="zh-CN"/>
        </w:rPr>
        <w:t>指企业向工商行政管理部门进行登记、领取法人营业执照的时间。  企业填写本栏“企业开业时间”时应注意：①筹建企业免填；②1949 年以前成立的企业</w:t>
      </w:r>
    </w:p>
    <w:p>
      <w:pPr>
        <w:pStyle w:val="10"/>
        <w:spacing w:before="8" w:line="400" w:lineRule="exact"/>
        <w:ind w:left="116" w:right="214"/>
        <w:jc w:val="both"/>
        <w:rPr>
          <w:rFonts w:asciiTheme="minorEastAsia" w:hAnsiTheme="minorEastAsia" w:eastAsiaTheme="minorEastAsia"/>
          <w:lang w:eastAsia="zh-CN"/>
        </w:rPr>
      </w:pPr>
      <w:r>
        <w:rPr>
          <w:rFonts w:asciiTheme="minorEastAsia" w:hAnsiTheme="minorEastAsia" w:eastAsiaTheme="minorEastAsia"/>
          <w:lang w:eastAsia="zh-CN"/>
        </w:rPr>
        <w:t>填写最早开业时间；③合并或兼并的企业，按合并前主要企业的最早开业时间填写；④分立   企业按分立后各自领取法人营业执照的时间填写；⑤与外方（含港、澳、台）合资企业，按   合资企业所领取营业执照的时间填写。</w:t>
      </w:r>
    </w:p>
    <w:p>
      <w:pPr>
        <w:pStyle w:val="23"/>
        <w:tabs>
          <w:tab w:val="left" w:pos="846"/>
        </w:tabs>
        <w:spacing w:line="400" w:lineRule="exact"/>
        <w:ind w:left="524" w:right="216" w:firstLine="0"/>
        <w:rPr>
          <w:sz w:val="21"/>
          <w:lang w:eastAsia="zh-CN"/>
        </w:rPr>
      </w:pPr>
      <w:r>
        <w:rPr>
          <w:rFonts w:hint="eastAsia" w:ascii="黑体" w:eastAsia="黑体"/>
          <w:b/>
          <w:spacing w:val="4"/>
          <w:w w:val="95"/>
          <w:sz w:val="21"/>
          <w:lang w:eastAsia="zh-CN"/>
        </w:rPr>
        <w:t>10. 企业登记注册类型</w:t>
      </w:r>
      <w:r>
        <w:rPr>
          <w:rFonts w:hint="eastAsia" w:ascii="黑体" w:eastAsia="黑体"/>
          <w:w w:val="95"/>
          <w:sz w:val="21"/>
          <w:lang w:eastAsia="zh-CN"/>
        </w:rPr>
        <w:t>：</w:t>
      </w:r>
      <w:r>
        <w:rPr>
          <w:sz w:val="21"/>
          <w:lang w:eastAsia="zh-CN"/>
        </w:rPr>
        <w:t>是以工商行政管理机关登记注册，具有独立法人资格的各类软件  企业为划分对象。</w:t>
      </w:r>
    </w:p>
    <w:p>
      <w:pPr>
        <w:pStyle w:val="10"/>
        <w:spacing w:before="47" w:line="360" w:lineRule="auto"/>
        <w:ind w:left="480"/>
        <w:jc w:val="both"/>
        <w:rPr>
          <w:lang w:eastAsia="zh-CN"/>
        </w:rPr>
      </w:pPr>
      <w:r>
        <w:rPr>
          <w:lang w:eastAsia="zh-CN"/>
        </w:rPr>
        <w:t>根据资产组织形式，企业（单位）组织类型分为以下几种：</w:t>
      </w:r>
    </w:p>
    <w:p>
      <w:pPr>
        <w:pStyle w:val="10"/>
        <w:spacing w:line="360" w:lineRule="auto"/>
        <w:ind w:left="104" w:right="211" w:firstLine="420"/>
        <w:jc w:val="both"/>
        <w:rPr>
          <w:lang w:eastAsia="zh-CN"/>
        </w:rPr>
      </w:pPr>
      <w:r>
        <w:rPr>
          <w:rFonts w:hint="eastAsia" w:ascii="黑体" w:hAnsi="黑体" w:eastAsia="黑体"/>
          <w:b/>
          <w:lang w:eastAsia="zh-CN"/>
        </w:rPr>
        <w:t>①内资企业：</w:t>
      </w:r>
      <w:r>
        <w:rPr>
          <w:lang w:eastAsia="zh-CN"/>
        </w:rPr>
        <w:t>是指国内投资者根据国家有关法律法规，以独资、联营、股份制、合资、合伙等形式投资设立的经济组织。</w:t>
      </w:r>
    </w:p>
    <w:p>
      <w:pPr>
        <w:pStyle w:val="10"/>
        <w:spacing w:before="47" w:line="360" w:lineRule="auto"/>
        <w:ind w:left="104" w:right="148" w:firstLine="376"/>
        <w:jc w:val="both"/>
        <w:rPr>
          <w:lang w:eastAsia="zh-CN"/>
        </w:rPr>
      </w:pPr>
      <w:r>
        <w:rPr>
          <w:lang w:eastAsia="zh-CN"/>
        </w:rPr>
        <w:t>内资企业包括国有企业、集体企业、股份合作企业、联营企业、股份有限公司、有限责任公司和私营企业及其他内资企业。</w:t>
      </w:r>
    </w:p>
    <w:p>
      <w:pPr>
        <w:pStyle w:val="10"/>
        <w:spacing w:before="47" w:line="360" w:lineRule="auto"/>
        <w:ind w:left="104" w:right="148" w:firstLine="420"/>
        <w:jc w:val="both"/>
        <w:rPr>
          <w:lang w:eastAsia="zh-CN"/>
        </w:rPr>
      </w:pPr>
      <w:r>
        <w:rPr>
          <w:lang w:eastAsia="zh-CN"/>
        </w:rPr>
        <w:t>A、国有企业：是指企业全部资产归国家所有，并按《中华人民共和国企业法人登记管理条例》规定登记注册的非公司制的经济组织。不包括有限责任公司中的国有独资公司。</w:t>
      </w:r>
    </w:p>
    <w:p>
      <w:pPr>
        <w:pStyle w:val="10"/>
        <w:spacing w:before="47" w:line="360" w:lineRule="auto"/>
        <w:ind w:left="216" w:right="336" w:firstLine="391"/>
        <w:jc w:val="both"/>
        <w:rPr>
          <w:lang w:eastAsia="zh-CN"/>
        </w:rPr>
      </w:pPr>
      <w:r>
        <w:rPr>
          <w:lang w:eastAsia="zh-CN"/>
        </w:rPr>
        <w:t>B、集体企业：是指企业全部资产归集体所有，并按《中华人民共和国企业法人登记管理条例》规定登记注册的经济组织。</w:t>
      </w:r>
    </w:p>
    <w:p>
      <w:pPr>
        <w:pStyle w:val="10"/>
        <w:spacing w:before="47" w:line="360" w:lineRule="auto"/>
        <w:ind w:left="216" w:right="336" w:firstLine="420"/>
        <w:jc w:val="both"/>
        <w:rPr>
          <w:lang w:eastAsia="zh-CN"/>
        </w:rPr>
      </w:pPr>
      <w:r>
        <w:rPr>
          <w:lang w:eastAsia="zh-CN"/>
        </w:rPr>
        <w:t>C、股份合作企业：是指以合作制为基础，由企业职工共同出资入股，吸引一定比例的社会资产投资组建，实行自主经营，自负盈亏，按劳分配与按股分红相结合的一种集体经济组织。</w:t>
      </w:r>
    </w:p>
    <w:p>
      <w:pPr>
        <w:pStyle w:val="10"/>
        <w:spacing w:before="47" w:line="360" w:lineRule="auto"/>
        <w:ind w:left="104" w:right="148" w:firstLine="420"/>
        <w:jc w:val="both"/>
        <w:rPr>
          <w:lang w:eastAsia="zh-CN"/>
        </w:rPr>
      </w:pPr>
      <w:r>
        <w:rPr>
          <w:lang w:eastAsia="zh-CN"/>
        </w:rPr>
        <w:t>D、联营企业：是指两个及两个以上相同或不同所有制性质的企业法人或事业单位法人，按自愿、平等、互利的原则，共同投资组成的经济组织。</w:t>
      </w:r>
    </w:p>
    <w:p>
      <w:pPr>
        <w:pStyle w:val="10"/>
        <w:spacing w:before="47" w:line="360" w:lineRule="auto"/>
        <w:ind w:left="104" w:right="223" w:firstLine="420"/>
        <w:jc w:val="both"/>
        <w:rPr>
          <w:lang w:eastAsia="zh-CN"/>
        </w:rPr>
      </w:pPr>
      <w:r>
        <w:rPr>
          <w:lang w:eastAsia="zh-CN"/>
        </w:rPr>
        <w:t>E、有限责任公司：是指根据《中华人民共和国企业法人登记管理条例》规定登记注册，由两个以上、五十个以下的股东共同出资，每个股东以其所认缴的出资额对公司承担有限责任， 公司以其全部资产对其债务承担责任的经济组织。有限责任公司包括国有独资公司和其他有限责任公司。</w:t>
      </w:r>
    </w:p>
    <w:p>
      <w:pPr>
        <w:pStyle w:val="10"/>
        <w:spacing w:before="47" w:line="360" w:lineRule="auto"/>
        <w:ind w:left="495"/>
        <w:jc w:val="both"/>
        <w:rPr>
          <w:lang w:eastAsia="zh-CN"/>
        </w:rPr>
      </w:pPr>
      <w:r>
        <w:rPr>
          <w:lang w:eastAsia="zh-CN"/>
        </w:rPr>
        <w:t>国有独资公司：是指国家授权的投资机构或者国家授权的部门单独投资设立的有限责任公</w:t>
      </w:r>
    </w:p>
    <w:p>
      <w:pPr>
        <w:pStyle w:val="10"/>
        <w:spacing w:before="7" w:line="360" w:lineRule="auto"/>
        <w:jc w:val="both"/>
        <w:rPr>
          <w:lang w:eastAsia="zh-CN"/>
        </w:rPr>
      </w:pPr>
      <w:r>
        <w:rPr>
          <w:lang w:eastAsia="zh-CN"/>
        </w:rPr>
        <w:t>司。</w:t>
      </w:r>
    </w:p>
    <w:p>
      <w:pPr>
        <w:pStyle w:val="10"/>
        <w:spacing w:line="360" w:lineRule="auto"/>
        <w:ind w:left="104" w:right="204" w:firstLine="391"/>
        <w:jc w:val="both"/>
        <w:rPr>
          <w:lang w:eastAsia="zh-CN"/>
        </w:rPr>
      </w:pPr>
      <w:r>
        <w:rPr>
          <w:lang w:eastAsia="zh-CN"/>
        </w:rPr>
        <w:t>其他有限责任公司：是指除以上国家独资公司和私营有限责任公司以外的其他有限责任公司。</w:t>
      </w:r>
    </w:p>
    <w:p>
      <w:pPr>
        <w:pStyle w:val="10"/>
        <w:spacing w:before="47" w:line="360" w:lineRule="auto"/>
        <w:ind w:left="104" w:right="200" w:firstLine="405"/>
        <w:jc w:val="both"/>
        <w:rPr>
          <w:lang w:eastAsia="zh-CN"/>
        </w:rPr>
      </w:pPr>
      <w:r>
        <w:rPr>
          <w:rFonts w:hint="eastAsia"/>
          <w:lang w:eastAsia="zh-CN"/>
        </w:rPr>
        <w:t>F</w:t>
      </w:r>
      <w:r>
        <w:rPr>
          <w:lang w:eastAsia="zh-CN"/>
        </w:rPr>
        <w:t>、股份有限公司：是指根据《中华人民共和国企业法人登记管理条例》规定登记注册，其全部注册资本由等额股份构成并发行股票（或股权证）筹集资本，股东以其认购的股份对公司承担有限责任，公司以全部资产对其债务承担责任的经济组织。</w:t>
      </w:r>
    </w:p>
    <w:p>
      <w:pPr>
        <w:pStyle w:val="10"/>
        <w:spacing w:before="58" w:line="360" w:lineRule="auto"/>
        <w:ind w:left="104" w:right="204" w:firstLine="405"/>
        <w:jc w:val="both"/>
        <w:rPr>
          <w:lang w:eastAsia="zh-CN"/>
        </w:rPr>
      </w:pPr>
      <w:r>
        <w:rPr>
          <w:rFonts w:hint="eastAsia"/>
          <w:lang w:eastAsia="zh-CN"/>
        </w:rPr>
        <w:t>G</w:t>
      </w:r>
      <w:r>
        <w:rPr>
          <w:lang w:eastAsia="zh-CN"/>
        </w:rPr>
        <w:t>、私营企业：是指自然人投资设立或由自然人控股，以雇佣劳动为基础的营利性经济组织。包括按照《中华人民共和国企业法人登记管理条例》规定登记注册的私营独资企业、私营合伙企业、私营有限责任公司和私营股份有限公司。</w:t>
      </w:r>
    </w:p>
    <w:p>
      <w:pPr>
        <w:pStyle w:val="10"/>
        <w:spacing w:before="58" w:line="360" w:lineRule="auto"/>
        <w:ind w:left="509"/>
        <w:jc w:val="both"/>
        <w:rPr>
          <w:lang w:eastAsia="zh-CN"/>
        </w:rPr>
      </w:pPr>
      <w:r>
        <w:rPr>
          <w:rFonts w:hint="eastAsia"/>
          <w:lang w:eastAsia="zh-CN"/>
        </w:rPr>
        <w:t>H</w:t>
      </w:r>
      <w:r>
        <w:rPr>
          <w:lang w:eastAsia="zh-CN"/>
        </w:rPr>
        <w:t>、其他内资企业：是指上述企业（单位）之外的其他内资经济组织。</w:t>
      </w:r>
    </w:p>
    <w:p>
      <w:pPr>
        <w:pStyle w:val="10"/>
        <w:spacing w:before="189" w:line="360" w:lineRule="auto"/>
        <w:ind w:left="104" w:right="194" w:firstLine="405"/>
        <w:jc w:val="both"/>
        <w:rPr>
          <w:lang w:eastAsia="zh-CN"/>
        </w:rPr>
      </w:pPr>
      <w:r>
        <w:rPr>
          <w:rFonts w:hint="eastAsia" w:ascii="黑体" w:hAnsi="黑体" w:eastAsia="黑体"/>
          <w:b/>
          <w:lang w:eastAsia="zh-CN"/>
        </w:rPr>
        <w:t>②港、澳、台商投资企业：</w:t>
      </w:r>
      <w:r>
        <w:rPr>
          <w:lang w:eastAsia="zh-CN"/>
        </w:rPr>
        <w:t>是指港、澳、台地区投资者参照中华人民共和国有关涉外经济的法律、法规，以合资、合作或独资的形式在内地开办企业而形成的一种经济组织。</w:t>
      </w:r>
    </w:p>
    <w:p>
      <w:pPr>
        <w:pStyle w:val="10"/>
        <w:spacing w:before="47" w:line="360" w:lineRule="auto"/>
        <w:ind w:left="104" w:right="60" w:firstLine="405"/>
        <w:jc w:val="both"/>
        <w:rPr>
          <w:lang w:eastAsia="zh-CN"/>
        </w:rPr>
      </w:pPr>
      <w:r>
        <w:rPr>
          <w:lang w:eastAsia="zh-CN"/>
        </w:rPr>
        <w:t>港、澳、台商投资企业包括合资经营企业（港或澳、台资）；合作经营企业（港或澳、台资）；港、澳、台商独资经营企业；港、澳、台商投资股份有限公司；其他港、澳、台商投资企业。</w:t>
      </w:r>
    </w:p>
    <w:p>
      <w:pPr>
        <w:pStyle w:val="10"/>
        <w:spacing w:before="47" w:line="360" w:lineRule="auto"/>
        <w:ind w:left="104" w:right="205" w:firstLine="420"/>
        <w:jc w:val="both"/>
        <w:rPr>
          <w:lang w:eastAsia="zh-CN"/>
        </w:rPr>
      </w:pPr>
      <w:r>
        <w:rPr>
          <w:lang w:eastAsia="zh-CN"/>
        </w:rPr>
        <w:t>A、合资经营企业（港或澳、台资）：是指港、澳、台地区投资者与内地的企业依照《中华人民共和国中外合资经营企业法》及有关法律的规定，按合同规定的比例投资设立，分配利润和分担风险的企业。</w:t>
      </w:r>
    </w:p>
    <w:p>
      <w:pPr>
        <w:pStyle w:val="10"/>
        <w:spacing w:before="47" w:line="360" w:lineRule="auto"/>
        <w:ind w:left="104" w:right="206" w:firstLine="376"/>
        <w:jc w:val="both"/>
        <w:rPr>
          <w:lang w:eastAsia="zh-CN"/>
        </w:rPr>
      </w:pPr>
      <w:r>
        <w:rPr>
          <w:lang w:eastAsia="zh-CN"/>
        </w:rPr>
        <w:t>B、合作经营企业（港或澳、台资）：是指港、澳、台地区投资者与内地企业依照《中华人民共和国中外合作经营企业法》及有关法律的规定，依照合作合同的约定进行投资或提供条件设立，分配利润、分担风险和亏损的企业。</w:t>
      </w:r>
    </w:p>
    <w:p>
      <w:pPr>
        <w:pStyle w:val="10"/>
        <w:spacing w:before="47" w:line="360" w:lineRule="auto"/>
        <w:ind w:left="104" w:right="203" w:firstLine="376"/>
        <w:jc w:val="both"/>
        <w:rPr>
          <w:lang w:eastAsia="zh-CN"/>
        </w:rPr>
      </w:pPr>
      <w:r>
        <w:rPr>
          <w:lang w:eastAsia="zh-CN"/>
        </w:rPr>
        <w:t>C、港、澳、台商独资经营企业：是指依照《中华人民共和国外资企业法》及有关法律的规定，在内地设立的由港、澳、台地区投资者全额投资设立的企业。</w:t>
      </w:r>
    </w:p>
    <w:p>
      <w:pPr>
        <w:pStyle w:val="10"/>
        <w:spacing w:before="47" w:line="360" w:lineRule="auto"/>
        <w:ind w:left="104" w:right="191" w:firstLine="376"/>
        <w:jc w:val="both"/>
        <w:rPr>
          <w:lang w:eastAsia="zh-CN"/>
        </w:rPr>
      </w:pPr>
      <w:r>
        <w:rPr>
          <w:lang w:eastAsia="zh-CN"/>
        </w:rPr>
        <w:t>D、港、澳、台商投资股份有限公司：是指根据国家有关规定，经原外贸部或商务部批准设立并且其中港、澳、台商的股本占公司注册资本的比例达</w:t>
      </w:r>
      <w:r>
        <w:rPr>
          <w:rFonts w:hint="eastAsia"/>
          <w:lang w:eastAsia="zh-CN"/>
        </w:rPr>
        <w:t>25%</w:t>
      </w:r>
      <w:r>
        <w:rPr>
          <w:lang w:eastAsia="zh-CN"/>
        </w:rPr>
        <w:t>以上的境外上市股份有限公司。凡其中港、澳、台商的股本占公司注册资本的比例小于</w:t>
      </w:r>
      <w:r>
        <w:rPr>
          <w:rFonts w:hint="eastAsia"/>
          <w:lang w:eastAsia="zh-CN"/>
        </w:rPr>
        <w:t>25%</w:t>
      </w:r>
      <w:r>
        <w:rPr>
          <w:lang w:eastAsia="zh-CN"/>
        </w:rPr>
        <w:t>的，属于内资中的股份有限公司。</w:t>
      </w:r>
    </w:p>
    <w:p>
      <w:pPr>
        <w:pStyle w:val="10"/>
        <w:spacing w:before="26" w:line="420" w:lineRule="auto"/>
        <w:ind w:left="104" w:right="196" w:firstLine="376"/>
        <w:jc w:val="both"/>
        <w:rPr>
          <w:lang w:eastAsia="zh-CN"/>
        </w:rPr>
      </w:pPr>
      <w:r>
        <w:rPr>
          <w:rFonts w:hint="eastAsia" w:ascii="黑体" w:hAnsi="黑体" w:eastAsia="黑体"/>
          <w:b/>
          <w:lang w:eastAsia="zh-CN"/>
        </w:rPr>
        <w:t>③外商投资企业：</w:t>
      </w:r>
      <w:r>
        <w:rPr>
          <w:lang w:eastAsia="zh-CN"/>
        </w:rPr>
        <w:t>是指外国投资者根据中华人民共和国有关涉外经济的法律、法规，以合资、合作或独资的形式在中国内地开办企业而形成的一种经济组织。</w:t>
      </w:r>
    </w:p>
    <w:p>
      <w:pPr>
        <w:pStyle w:val="10"/>
        <w:spacing w:before="7" w:line="360" w:lineRule="auto"/>
        <w:ind w:left="104" w:right="159" w:firstLine="420"/>
        <w:jc w:val="both"/>
        <w:rPr>
          <w:lang w:eastAsia="zh-CN"/>
        </w:rPr>
      </w:pPr>
      <w:r>
        <w:rPr>
          <w:lang w:eastAsia="zh-CN"/>
        </w:rPr>
        <w:t>外商投资企业包括中外合资企业、中外合作企业、外资企业和外商投资股份有限公司和其他外商投资企业。A</w:t>
      </w:r>
      <w:r>
        <w:rPr>
          <w:spacing w:val="-10"/>
          <w:lang w:eastAsia="zh-CN"/>
        </w:rPr>
        <w:t>、中外合资经营企业：是指外国企业或外国人与中国内地企业依照《中华人民共和国中外合资经营法》及有关法律的规定，按合同规定的比例投资设立，分享利润和分担风险的企业。</w:t>
      </w:r>
    </w:p>
    <w:p>
      <w:pPr>
        <w:pStyle w:val="10"/>
        <w:spacing w:before="47" w:line="360" w:lineRule="auto"/>
        <w:ind w:left="104" w:right="163" w:firstLine="376"/>
        <w:jc w:val="both"/>
        <w:rPr>
          <w:lang w:eastAsia="zh-CN"/>
        </w:rPr>
      </w:pPr>
      <w:r>
        <w:rPr>
          <w:lang w:eastAsia="zh-CN"/>
        </w:rPr>
        <w:t>B</w:t>
      </w:r>
      <w:r>
        <w:rPr>
          <w:spacing w:val="-7"/>
          <w:lang w:eastAsia="zh-CN"/>
        </w:rPr>
        <w:t>、中外合作经营企业：是指外国企业或外国人与中国内地企业依照《中华人民共和国中外   合作经营法》及有关法律的规定，依照合作合同的约定进行投资或提供条件设立，分配利润、分担风险和亏损的企业。</w:t>
      </w:r>
    </w:p>
    <w:p>
      <w:pPr>
        <w:pStyle w:val="10"/>
        <w:spacing w:before="47" w:line="360" w:lineRule="auto"/>
        <w:ind w:left="104" w:right="159" w:firstLine="376"/>
        <w:jc w:val="both"/>
        <w:rPr>
          <w:lang w:eastAsia="zh-CN"/>
        </w:rPr>
      </w:pPr>
      <w:r>
        <w:rPr>
          <w:lang w:eastAsia="zh-CN"/>
        </w:rPr>
        <w:t>C</w:t>
      </w:r>
      <w:r>
        <w:rPr>
          <w:spacing w:val="-7"/>
          <w:lang w:eastAsia="zh-CN"/>
        </w:rPr>
        <w:t>、外商独资企业：是指依照《中华人民共和国外资企业法》及有关法律的规定，在中国内   地设立的由外国投资者全额投资设立的企业。</w:t>
      </w:r>
    </w:p>
    <w:p>
      <w:pPr>
        <w:pStyle w:val="10"/>
        <w:spacing w:before="47" w:line="360" w:lineRule="auto"/>
        <w:ind w:left="104" w:right="160" w:firstLine="316"/>
        <w:jc w:val="both"/>
        <w:rPr>
          <w:lang w:eastAsia="zh-CN"/>
        </w:rPr>
      </w:pPr>
      <w:r>
        <w:rPr>
          <w:rFonts w:hint="eastAsia"/>
          <w:lang w:eastAsia="zh-CN"/>
        </w:rPr>
        <w:t>D</w:t>
      </w:r>
      <w:r>
        <w:rPr>
          <w:spacing w:val="-6"/>
          <w:lang w:eastAsia="zh-CN"/>
        </w:rPr>
        <w:t xml:space="preserve">、外商投资股份有限公司：是指根据国家有关规定，经原外经贸部或商务部批准设立，并   </w:t>
      </w:r>
      <w:r>
        <w:rPr>
          <w:spacing w:val="-10"/>
          <w:lang w:eastAsia="zh-CN"/>
        </w:rPr>
        <w:t xml:space="preserve">且其中外资的股本占公司注册的比例达 </w:t>
      </w:r>
      <w:r>
        <w:rPr>
          <w:rFonts w:hint="eastAsia"/>
          <w:lang w:eastAsia="zh-CN"/>
        </w:rPr>
        <w:t>25%</w:t>
      </w:r>
      <w:r>
        <w:rPr>
          <w:spacing w:val="-1"/>
          <w:lang w:eastAsia="zh-CN"/>
        </w:rPr>
        <w:t>以上的境外上市股份有限公司，凡其中外资股本占</w:t>
      </w:r>
      <w:r>
        <w:rPr>
          <w:spacing w:val="-7"/>
          <w:lang w:eastAsia="zh-CN"/>
        </w:rPr>
        <w:t xml:space="preserve">公司注册资本的比例小于 </w:t>
      </w:r>
      <w:r>
        <w:rPr>
          <w:rFonts w:hint="eastAsia"/>
          <w:lang w:eastAsia="zh-CN"/>
        </w:rPr>
        <w:t>25%</w:t>
      </w:r>
      <w:r>
        <w:rPr>
          <w:lang w:eastAsia="zh-CN"/>
        </w:rPr>
        <w:t>的，属于内资企业股份有限公司。</w:t>
      </w:r>
    </w:p>
    <w:p>
      <w:pPr>
        <w:pStyle w:val="10"/>
        <w:spacing w:before="5" w:line="400" w:lineRule="exact"/>
        <w:ind w:left="116" w:right="204" w:firstLine="480"/>
        <w:rPr>
          <w:rFonts w:asciiTheme="minorEastAsia" w:hAnsiTheme="minorEastAsia" w:eastAsiaTheme="minorEastAsia"/>
          <w:lang w:eastAsia="zh-CN"/>
        </w:rPr>
      </w:pPr>
      <w:r>
        <w:rPr>
          <w:rFonts w:hint="eastAsia" w:asciiTheme="minorEastAsia" w:hAnsiTheme="minorEastAsia" w:eastAsiaTheme="minorEastAsia"/>
          <w:b/>
          <w:lang w:eastAsia="zh-CN"/>
        </w:rPr>
        <w:t xml:space="preserve">11. </w:t>
      </w:r>
      <w:r>
        <w:rPr>
          <w:rFonts w:hint="eastAsia" w:asciiTheme="minorEastAsia" w:hAnsiTheme="minorEastAsia" w:eastAsiaTheme="minorEastAsia"/>
          <w:lang w:eastAsia="zh-CN"/>
        </w:rPr>
        <w:t>上市及新三板、四板挂牌情况，本年度兼并重组情况的指标解释具体参见国家统计局统计调查制度规定。</w:t>
      </w:r>
    </w:p>
    <w:p>
      <w:pPr>
        <w:pStyle w:val="10"/>
        <w:spacing w:before="8" w:line="400" w:lineRule="exact"/>
        <w:ind w:left="116" w:right="214"/>
        <w:jc w:val="both"/>
        <w:rPr>
          <w:rFonts w:asciiTheme="minorEastAsia" w:hAnsiTheme="minorEastAsia" w:eastAsiaTheme="minorEastAsia"/>
          <w:lang w:eastAsia="zh-CN"/>
        </w:rPr>
      </w:pPr>
    </w:p>
    <w:p>
      <w:pPr>
        <w:pStyle w:val="8"/>
        <w:spacing w:before="1"/>
        <w:ind w:left="636"/>
        <w:rPr>
          <w:lang w:eastAsia="zh-CN"/>
        </w:rPr>
      </w:pPr>
    </w:p>
    <w:p>
      <w:pPr>
        <w:pStyle w:val="8"/>
        <w:spacing w:before="12000" w:beforeLines="5000"/>
        <w:ind w:left="0" w:firstLine="562" w:firstLineChars="200"/>
        <w:jc w:val="center"/>
        <w:rPr>
          <w:sz w:val="28"/>
          <w:lang w:eastAsia="zh-CN"/>
        </w:rPr>
      </w:pPr>
      <w:r>
        <w:rPr>
          <w:sz w:val="28"/>
          <w:lang w:eastAsia="zh-CN"/>
        </w:rPr>
        <w:t xml:space="preserve">（二）企业主要指标（电软统企 </w:t>
      </w:r>
      <w:r>
        <w:rPr>
          <w:rFonts w:ascii="Times New Roman" w:eastAsia="Times New Roman"/>
          <w:sz w:val="28"/>
          <w:lang w:eastAsia="zh-CN"/>
        </w:rPr>
        <w:t xml:space="preserve">2 </w:t>
      </w:r>
      <w:r>
        <w:rPr>
          <w:sz w:val="28"/>
          <w:lang w:eastAsia="zh-CN"/>
        </w:rPr>
        <w:t>表</w:t>
      </w:r>
      <w:r>
        <w:rPr>
          <w:rFonts w:hint="eastAsia"/>
          <w:sz w:val="28"/>
          <w:lang w:eastAsia="zh-CN"/>
        </w:rPr>
        <w:t>、电软统企3表</w:t>
      </w:r>
      <w:r>
        <w:rPr>
          <w:sz w:val="28"/>
          <w:lang w:eastAsia="zh-CN"/>
        </w:rPr>
        <w:t>）</w:t>
      </w:r>
    </w:p>
    <w:p>
      <w:pPr>
        <w:spacing w:before="360"/>
        <w:ind w:left="320"/>
        <w:rPr>
          <w:rFonts w:ascii="黑体" w:hAnsi="黑体" w:eastAsia="黑体" w:cs="黑体"/>
          <w:b/>
          <w:sz w:val="21"/>
          <w:lang w:eastAsia="zh-CN"/>
        </w:rPr>
      </w:pPr>
      <w:r>
        <w:rPr>
          <w:rFonts w:hint="eastAsia" w:ascii="黑体" w:hAnsi="黑体" w:eastAsia="黑体" w:cs="黑体"/>
          <w:b/>
          <w:w w:val="95"/>
          <w:sz w:val="21"/>
          <w:lang w:eastAsia="zh-CN"/>
        </w:rPr>
        <w:t>第一部分：软件业务的主要范围</w:t>
      </w:r>
    </w:p>
    <w:p>
      <w:pPr>
        <w:pStyle w:val="10"/>
        <w:spacing w:before="8"/>
        <w:rPr>
          <w:rFonts w:ascii="黑体"/>
          <w:b/>
          <w:sz w:val="15"/>
          <w:lang w:eastAsia="zh-CN"/>
        </w:rPr>
      </w:pPr>
    </w:p>
    <w:p>
      <w:pPr>
        <w:pStyle w:val="10"/>
        <w:spacing w:line="360" w:lineRule="auto"/>
        <w:ind w:left="116" w:right="199" w:firstLine="420"/>
        <w:jc w:val="both"/>
        <w:rPr>
          <w:lang w:eastAsia="zh-CN"/>
        </w:rPr>
      </w:pPr>
      <w:r>
        <w:rPr>
          <w:rFonts w:hint="eastAsia" w:ascii="黑体" w:eastAsia="黑体"/>
          <w:b/>
          <w:spacing w:val="3"/>
          <w:w w:val="95"/>
          <w:lang w:eastAsia="zh-CN"/>
        </w:rPr>
        <w:t>1．软件产品行业：</w:t>
      </w:r>
      <w:r>
        <w:rPr>
          <w:lang w:eastAsia="zh-CN"/>
        </w:rPr>
        <w:t>指以知识为基础所形成的无形软件产品（广义）。或指以知识为基础借助于中央处理器（</w:t>
      </w:r>
      <w:r>
        <w:rPr>
          <w:rFonts w:ascii="Times New Roman" w:eastAsia="Times New Roman"/>
          <w:lang w:eastAsia="zh-CN"/>
        </w:rPr>
        <w:t>CPU</w:t>
      </w:r>
      <w:r>
        <w:rPr>
          <w:lang w:eastAsia="zh-CN"/>
        </w:rPr>
        <w:t>）为运行平台的指令和程序的有序结合，从而形成的无形产品（狭义）。主要包括基础软件、支撑软件、</w:t>
      </w:r>
      <w:r>
        <w:rPr>
          <w:rFonts w:hint="eastAsia"/>
          <w:lang w:eastAsia="zh-CN"/>
        </w:rPr>
        <w:t>平台软件、</w:t>
      </w:r>
      <w:r>
        <w:rPr>
          <w:lang w:eastAsia="zh-CN"/>
        </w:rPr>
        <w:t>应用软件、</w:t>
      </w:r>
      <w:r>
        <w:rPr>
          <w:rFonts w:hint="eastAsia"/>
          <w:lang w:eastAsia="zh-CN"/>
        </w:rPr>
        <w:t>工业软件、</w:t>
      </w:r>
      <w:r>
        <w:rPr>
          <w:lang w:eastAsia="zh-CN"/>
        </w:rPr>
        <w:t>接受委托开发的嵌入式软件</w:t>
      </w:r>
      <w:r>
        <w:rPr>
          <w:rFonts w:hint="eastAsia"/>
          <w:lang w:eastAsia="zh-CN"/>
        </w:rPr>
        <w:t>、移动应用软件（APP）和</w:t>
      </w:r>
      <w:r>
        <w:rPr>
          <w:lang w:eastAsia="zh-CN"/>
        </w:rPr>
        <w:t>定制软件。</w:t>
      </w:r>
    </w:p>
    <w:p>
      <w:pPr>
        <w:pStyle w:val="10"/>
        <w:spacing w:before="55" w:line="360" w:lineRule="auto"/>
        <w:ind w:left="116" w:right="201" w:firstLine="420"/>
        <w:jc w:val="both"/>
        <w:rPr>
          <w:lang w:eastAsia="zh-CN"/>
        </w:rPr>
      </w:pPr>
      <w:r>
        <w:rPr>
          <w:b/>
          <w:bCs/>
          <w:lang w:eastAsia="zh-CN"/>
        </w:rPr>
        <w:t>（1）基础软件：</w:t>
      </w:r>
      <w:r>
        <w:rPr>
          <w:lang w:eastAsia="zh-CN"/>
        </w:rPr>
        <w:t>是计算机系统中最靠近硬件层次的软件。通常包含操作系统、数据库管理系统、中间件等。</w:t>
      </w:r>
    </w:p>
    <w:p>
      <w:pPr>
        <w:pStyle w:val="10"/>
        <w:spacing w:before="47" w:line="360" w:lineRule="auto"/>
        <w:ind w:left="116" w:right="201" w:firstLine="420"/>
        <w:jc w:val="both"/>
        <w:rPr>
          <w:lang w:eastAsia="zh-CN"/>
        </w:rPr>
      </w:pPr>
      <w:r>
        <w:rPr>
          <w:b/>
          <w:bCs/>
          <w:lang w:eastAsia="zh-CN"/>
        </w:rPr>
        <w:t>（2）支撑软件：</w:t>
      </w:r>
      <w:r>
        <w:rPr>
          <w:lang w:eastAsia="zh-CN"/>
        </w:rPr>
        <w:t>指软件开发过程中使用到的开发工具和环境、建模工具、界面工具、项   目管理工具、配置管理软件、测试工具等软件。</w:t>
      </w:r>
    </w:p>
    <w:p>
      <w:pPr>
        <w:pStyle w:val="10"/>
        <w:spacing w:before="47" w:line="360" w:lineRule="auto"/>
        <w:ind w:left="116" w:right="201" w:firstLine="420"/>
        <w:jc w:val="both"/>
        <w:rPr>
          <w:lang w:eastAsia="zh-CN"/>
        </w:rPr>
      </w:pPr>
      <w:r>
        <w:rPr>
          <w:rFonts w:hint="eastAsia"/>
          <w:b/>
          <w:bCs/>
          <w:lang w:eastAsia="zh-CN"/>
        </w:rPr>
        <w:t>（3）平台软件：</w:t>
      </w:r>
      <w:r>
        <w:rPr>
          <w:rFonts w:hint="eastAsia"/>
          <w:lang w:eastAsia="zh-CN"/>
        </w:rPr>
        <w:t>指支撑云计算、大数据、人工智能、物联网等新型信息系统平台的虚拟化、存储管理、数据处理等软件。</w:t>
      </w:r>
    </w:p>
    <w:p>
      <w:pPr>
        <w:pStyle w:val="10"/>
        <w:spacing w:before="47" w:line="360" w:lineRule="auto"/>
        <w:ind w:left="116" w:right="203" w:firstLine="420"/>
        <w:jc w:val="both"/>
        <w:rPr>
          <w:lang w:eastAsia="zh-CN"/>
        </w:rPr>
      </w:pPr>
      <w:r>
        <w:rPr>
          <w:b/>
          <w:bCs/>
          <w:lang w:eastAsia="zh-CN"/>
        </w:rPr>
        <w:t>（</w:t>
      </w:r>
      <w:r>
        <w:rPr>
          <w:rFonts w:hint="eastAsia"/>
          <w:b/>
          <w:bCs/>
          <w:lang w:eastAsia="zh-CN"/>
        </w:rPr>
        <w:t>4</w:t>
      </w:r>
      <w:r>
        <w:rPr>
          <w:b/>
          <w:bCs/>
          <w:lang w:eastAsia="zh-CN"/>
        </w:rPr>
        <w:t>）应用软件：</w:t>
      </w:r>
      <w:r>
        <w:rPr>
          <w:lang w:eastAsia="zh-CN"/>
        </w:rPr>
        <w:t>是指为特定领域研发，具有指定功能的软件。一般处在操作系统和中间件上层。如管理软件、教育软件等。</w:t>
      </w:r>
    </w:p>
    <w:p>
      <w:pPr>
        <w:pStyle w:val="10"/>
        <w:spacing w:before="47" w:line="360" w:lineRule="auto"/>
        <w:ind w:left="116" w:right="203" w:firstLine="420"/>
        <w:jc w:val="both"/>
        <w:rPr>
          <w:lang w:eastAsia="zh-CN"/>
        </w:rPr>
      </w:pPr>
      <w:r>
        <w:rPr>
          <w:rFonts w:hint="eastAsia"/>
          <w:b/>
          <w:bCs/>
          <w:lang w:eastAsia="zh-CN"/>
        </w:rPr>
        <w:t>（5）工业软件：</w:t>
      </w:r>
      <w:r>
        <w:rPr>
          <w:rFonts w:hint="eastAsia"/>
          <w:lang w:eastAsia="zh-CN"/>
        </w:rPr>
        <w:t>指在工业领域辅助进行工业设计、生产、通讯、控制和工业企业业务管理的软件。</w:t>
      </w:r>
    </w:p>
    <w:p>
      <w:pPr>
        <w:pStyle w:val="10"/>
        <w:spacing w:before="47" w:line="360" w:lineRule="auto"/>
        <w:ind w:left="116" w:right="203" w:firstLine="420"/>
        <w:jc w:val="both"/>
        <w:rPr>
          <w:lang w:eastAsia="zh-CN"/>
        </w:rPr>
      </w:pPr>
      <w:r>
        <w:rPr>
          <w:b/>
          <w:bCs/>
          <w:lang w:eastAsia="zh-CN"/>
        </w:rPr>
        <w:t>（</w:t>
      </w:r>
      <w:r>
        <w:rPr>
          <w:rFonts w:hint="eastAsia"/>
          <w:b/>
          <w:bCs/>
          <w:lang w:eastAsia="zh-CN"/>
        </w:rPr>
        <w:t>6</w:t>
      </w:r>
      <w:r>
        <w:rPr>
          <w:b/>
          <w:bCs/>
          <w:lang w:eastAsia="zh-CN"/>
        </w:rPr>
        <w:t>）接受委托开发的嵌入式软件：</w:t>
      </w:r>
      <w:r>
        <w:rPr>
          <w:lang w:eastAsia="zh-CN"/>
        </w:rPr>
        <w:t>指软件企业接受硬件企业委托为其开发、研制的并以软件形式销售的嵌入式软件系统。</w:t>
      </w:r>
    </w:p>
    <w:p>
      <w:pPr>
        <w:pStyle w:val="10"/>
        <w:spacing w:before="47" w:line="360" w:lineRule="auto"/>
        <w:ind w:left="116" w:right="203" w:firstLine="420"/>
        <w:jc w:val="both"/>
        <w:rPr>
          <w:lang w:eastAsia="zh-CN"/>
        </w:rPr>
      </w:pPr>
      <w:r>
        <w:rPr>
          <w:rFonts w:hint="eastAsia"/>
          <w:b/>
          <w:bCs/>
          <w:lang w:eastAsia="zh-CN"/>
        </w:rPr>
        <w:t>（7）移动应用软件（APP）：</w:t>
      </w:r>
      <w:r>
        <w:rPr>
          <w:rFonts w:hint="eastAsia"/>
          <w:lang w:eastAsia="zh-CN"/>
        </w:rPr>
        <w:t>指面向移动终端开发的软件产品。</w:t>
      </w:r>
    </w:p>
    <w:p>
      <w:pPr>
        <w:pStyle w:val="10"/>
        <w:spacing w:before="46" w:line="360" w:lineRule="auto"/>
        <w:ind w:left="116" w:right="203" w:firstLine="420"/>
        <w:jc w:val="both"/>
        <w:rPr>
          <w:lang w:eastAsia="zh-CN"/>
        </w:rPr>
      </w:pPr>
      <w:r>
        <w:rPr>
          <w:b/>
          <w:bCs/>
          <w:lang w:eastAsia="zh-CN"/>
        </w:rPr>
        <w:t>（</w:t>
      </w:r>
      <w:r>
        <w:rPr>
          <w:rFonts w:hint="eastAsia"/>
          <w:b/>
          <w:bCs/>
          <w:lang w:eastAsia="zh-CN"/>
        </w:rPr>
        <w:t>8</w:t>
      </w:r>
      <w:r>
        <w:rPr>
          <w:b/>
          <w:bCs/>
          <w:lang w:eastAsia="zh-CN"/>
        </w:rPr>
        <w:t>）</w:t>
      </w:r>
      <w:r>
        <w:rPr>
          <w:rFonts w:hint="eastAsia"/>
          <w:b/>
          <w:bCs/>
          <w:lang w:eastAsia="zh-CN"/>
        </w:rPr>
        <w:t>定制软件</w:t>
      </w:r>
      <w:r>
        <w:rPr>
          <w:b/>
          <w:bCs/>
          <w:lang w:eastAsia="zh-CN"/>
        </w:rPr>
        <w:t>：</w:t>
      </w:r>
      <w:r>
        <w:rPr>
          <w:lang w:eastAsia="zh-CN"/>
        </w:rPr>
        <w:t>指通过承接外包的方式，向需方提供定制的软件</w:t>
      </w:r>
      <w:r>
        <w:rPr>
          <w:rFonts w:hint="eastAsia"/>
          <w:lang w:eastAsia="zh-CN"/>
        </w:rPr>
        <w:t>，且</w:t>
      </w:r>
      <w:r>
        <w:rPr>
          <w:lang w:eastAsia="zh-CN"/>
        </w:rPr>
        <w:t>供方不拥有</w:t>
      </w:r>
      <w:r>
        <w:rPr>
          <w:rFonts w:hint="eastAsia"/>
          <w:lang w:eastAsia="zh-CN"/>
        </w:rPr>
        <w:t>软件开发调试</w:t>
      </w:r>
      <w:r>
        <w:rPr>
          <w:lang w:eastAsia="zh-CN"/>
        </w:rPr>
        <w:t>过程中产生的著作权。</w:t>
      </w:r>
    </w:p>
    <w:p>
      <w:pPr>
        <w:pStyle w:val="10"/>
        <w:spacing w:before="46" w:line="360" w:lineRule="auto"/>
        <w:ind w:left="100" w:right="134" w:firstLine="420"/>
        <w:jc w:val="both"/>
        <w:rPr>
          <w:lang w:eastAsia="zh-CN"/>
        </w:rPr>
      </w:pPr>
      <w:r>
        <w:rPr>
          <w:rFonts w:hint="eastAsia" w:ascii="黑体" w:hAnsi="黑体" w:eastAsia="黑体" w:cs="黑体"/>
          <w:b/>
          <w:spacing w:val="2"/>
          <w:lang w:eastAsia="zh-CN"/>
        </w:rPr>
        <w:t>2</w:t>
      </w:r>
      <w:r>
        <w:rPr>
          <w:rFonts w:hint="eastAsia" w:ascii="黑体" w:hAnsi="黑体" w:eastAsia="黑体" w:cs="黑体"/>
          <w:b/>
          <w:lang w:eastAsia="zh-CN"/>
        </w:rPr>
        <w:t>．信息技术服务行业：</w:t>
      </w:r>
      <w:r>
        <w:rPr>
          <w:lang w:eastAsia="zh-CN"/>
        </w:rPr>
        <w:t>指供方为需方提供开发、应用信息技术的服务，以及供方以信息技术为手段提供支持需方业务活动的服务。包括：信息技术咨询设计服务、信息系统集成实施服务、运行维护服务、数据服务、</w:t>
      </w:r>
      <w:r>
        <w:rPr>
          <w:rFonts w:hint="eastAsia"/>
          <w:lang w:eastAsia="zh-CN"/>
        </w:rPr>
        <w:t>云服务</w:t>
      </w:r>
      <w:r>
        <w:rPr>
          <w:lang w:eastAsia="zh-CN"/>
        </w:rPr>
        <w:t>、</w:t>
      </w:r>
      <w:r>
        <w:rPr>
          <w:rFonts w:hint="eastAsia"/>
          <w:lang w:eastAsia="zh-CN"/>
        </w:rPr>
        <w:t>平台运营服务、电子商务平台技术服务、</w:t>
      </w:r>
      <w:r>
        <w:rPr>
          <w:lang w:eastAsia="zh-CN"/>
        </w:rPr>
        <w:t>集成电路设计服务。</w:t>
      </w:r>
    </w:p>
    <w:p>
      <w:pPr>
        <w:pStyle w:val="10"/>
        <w:spacing w:line="360" w:lineRule="auto"/>
        <w:ind w:left="116" w:right="194" w:firstLine="399" w:firstLineChars="200"/>
        <w:jc w:val="both"/>
        <w:rPr>
          <w:lang w:eastAsia="zh-CN"/>
        </w:rPr>
      </w:pPr>
      <w:r>
        <w:rPr>
          <w:b/>
          <w:w w:val="95"/>
          <w:lang w:eastAsia="zh-CN"/>
        </w:rPr>
        <w:t>（1）信息技术咨询设计服务：</w:t>
      </w:r>
      <w:r>
        <w:rPr>
          <w:lang w:eastAsia="zh-CN"/>
        </w:rPr>
        <w:t>在信息资源开发利用、工程建设、人员培训、管理体系建  设、技术支撑等方面向需方提供的管理或技术咨询评估服务。包括：信息化规划、信息系统设计、信息技术管理、信息系统工程监理、测试评估认证、信息技术培训等。</w:t>
      </w:r>
    </w:p>
    <w:p>
      <w:pPr>
        <w:pStyle w:val="10"/>
        <w:spacing w:line="360" w:lineRule="auto"/>
        <w:ind w:left="116" w:right="194" w:firstLine="399" w:firstLineChars="200"/>
        <w:jc w:val="both"/>
        <w:rPr>
          <w:lang w:eastAsia="zh-CN"/>
        </w:rPr>
      </w:pPr>
      <w:r>
        <w:rPr>
          <w:b/>
          <w:w w:val="95"/>
          <w:lang w:eastAsia="zh-CN"/>
        </w:rPr>
        <w:t>（2）信息系统集成实施服务：</w:t>
      </w:r>
      <w:r>
        <w:rPr>
          <w:lang w:eastAsia="zh-CN"/>
        </w:rPr>
        <w:t>指通过结构化的综合布线系统和计算机网络技术,将各个  分离的设备、功能和信息等集成到相互关联的、统一和协调的系统之中的服务。</w:t>
      </w:r>
    </w:p>
    <w:p>
      <w:pPr>
        <w:pStyle w:val="10"/>
        <w:spacing w:line="360" w:lineRule="auto"/>
        <w:ind w:left="116" w:right="196" w:firstLine="399" w:firstLineChars="200"/>
        <w:jc w:val="both"/>
        <w:rPr>
          <w:lang w:eastAsia="zh-CN"/>
        </w:rPr>
      </w:pPr>
      <w:r>
        <w:rPr>
          <w:b/>
          <w:w w:val="95"/>
          <w:lang w:eastAsia="zh-CN"/>
        </w:rPr>
        <w:t>（3）运行维护服务：</w:t>
      </w:r>
      <w:r>
        <w:rPr>
          <w:lang w:eastAsia="zh-CN"/>
        </w:rPr>
        <w:t>指采用信息技术手段及方法，依据需方提出服务级别要求，对其信   息系统的基础环境、软硬件及安全等提供的各种技术支持和管理服务。</w:t>
      </w:r>
    </w:p>
    <w:p>
      <w:pPr>
        <w:pStyle w:val="10"/>
        <w:spacing w:line="360" w:lineRule="auto"/>
        <w:ind w:left="116" w:right="196" w:firstLine="399" w:firstLineChars="200"/>
        <w:jc w:val="both"/>
        <w:rPr>
          <w:bCs/>
          <w:lang w:eastAsia="zh-CN"/>
        </w:rPr>
      </w:pPr>
      <w:r>
        <w:rPr>
          <w:b/>
          <w:w w:val="95"/>
          <w:lang w:eastAsia="zh-CN"/>
        </w:rPr>
        <w:t>（4）数据服务：</w:t>
      </w:r>
      <w:r>
        <w:rPr>
          <w:bCs/>
          <w:lang w:eastAsia="zh-CN"/>
        </w:rPr>
        <w:t>指利用信息技术向需方提供的信息和数据的整理、挖掘、分析等服务，包括大数据服务、数据加工处理服务（非海量）、数字内容处理等服务。</w:t>
      </w:r>
    </w:p>
    <w:p>
      <w:pPr>
        <w:pStyle w:val="10"/>
        <w:spacing w:line="360" w:lineRule="auto"/>
        <w:ind w:left="198" w:right="62" w:firstLine="420"/>
        <w:rPr>
          <w:bCs/>
          <w:lang w:eastAsia="zh-CN"/>
        </w:rPr>
      </w:pPr>
      <w:r>
        <w:rPr>
          <w:b/>
          <w:lang w:eastAsia="zh-CN"/>
        </w:rPr>
        <w:t>（5）云服务：</w:t>
      </w:r>
      <w:r>
        <w:rPr>
          <w:bCs/>
          <w:lang w:eastAsia="zh-CN"/>
        </w:rPr>
        <w:t>指将可伸缩、弹性、共享的物理和虚拟资源池以按需自服务的方式供应和管理，并提供网络访问模式的各类技术支持和管理服务。</w:t>
      </w:r>
    </w:p>
    <w:p>
      <w:pPr>
        <w:pStyle w:val="10"/>
        <w:spacing w:line="360" w:lineRule="auto"/>
        <w:ind w:left="198" w:right="62" w:firstLine="420"/>
        <w:rPr>
          <w:bCs/>
          <w:lang w:eastAsia="zh-CN"/>
        </w:rPr>
      </w:pPr>
      <w:r>
        <w:rPr>
          <w:rFonts w:hint="eastAsia"/>
          <w:b/>
          <w:lang w:eastAsia="zh-CN"/>
        </w:rPr>
        <w:t>（</w:t>
      </w:r>
      <w:r>
        <w:rPr>
          <w:b/>
          <w:lang w:eastAsia="zh-CN"/>
        </w:rPr>
        <w:t>6</w:t>
      </w:r>
      <w:r>
        <w:rPr>
          <w:rFonts w:hint="eastAsia"/>
          <w:b/>
          <w:lang w:eastAsia="zh-CN"/>
        </w:rPr>
        <w:t>）平台运营服务：</w:t>
      </w:r>
      <w:r>
        <w:rPr>
          <w:rFonts w:hint="eastAsia"/>
          <w:bCs/>
          <w:lang w:eastAsia="zh-CN"/>
        </w:rPr>
        <w:t>根据需方需求提供业务支撑平台的部分或全部功能的服务。包括物流管理服务平台、在线信息平台、在线娱乐平台、在线教育平台等。</w:t>
      </w:r>
    </w:p>
    <w:p>
      <w:pPr>
        <w:pStyle w:val="10"/>
        <w:spacing w:line="360" w:lineRule="auto"/>
        <w:ind w:left="198" w:right="62" w:firstLine="420"/>
        <w:rPr>
          <w:bCs/>
          <w:lang w:eastAsia="zh-CN"/>
        </w:rPr>
      </w:pPr>
      <w:r>
        <w:rPr>
          <w:rFonts w:hint="eastAsia"/>
          <w:b/>
          <w:lang w:eastAsia="zh-CN"/>
        </w:rPr>
        <w:t>（7）电子商务平台技术服务：</w:t>
      </w:r>
      <w:r>
        <w:rPr>
          <w:rFonts w:hint="eastAsia"/>
          <w:bCs/>
          <w:lang w:eastAsia="zh-CN"/>
        </w:rPr>
        <w:t>服务供方自建电子商务平台，并供其他企业或个人在平台上进行业务经营和交易的服务。包括：在线交易平台服务和在线交易支撑服务。不包括：电子商务平台交易收入。</w:t>
      </w:r>
    </w:p>
    <w:p>
      <w:pPr>
        <w:spacing w:line="360" w:lineRule="auto"/>
        <w:ind w:left="635"/>
        <w:rPr>
          <w:bCs/>
          <w:sz w:val="21"/>
          <w:szCs w:val="21"/>
          <w:lang w:eastAsia="zh-CN"/>
        </w:rPr>
      </w:pPr>
      <w:r>
        <w:rPr>
          <w:rFonts w:hint="eastAsia"/>
          <w:b/>
          <w:w w:val="95"/>
          <w:sz w:val="21"/>
          <w:lang w:eastAsia="zh-CN"/>
        </w:rPr>
        <w:t>（8）集成电路设计：</w:t>
      </w:r>
      <w:r>
        <w:rPr>
          <w:bCs/>
          <w:sz w:val="21"/>
          <w:szCs w:val="21"/>
          <w:lang w:eastAsia="zh-CN"/>
        </w:rPr>
        <w:t>指企业开展的集成电路研发、设计服务。</w:t>
      </w:r>
    </w:p>
    <w:p>
      <w:pPr>
        <w:pStyle w:val="10"/>
        <w:spacing w:before="46" w:line="360" w:lineRule="auto"/>
        <w:ind w:left="100" w:right="134" w:firstLine="420"/>
        <w:jc w:val="both"/>
        <w:rPr>
          <w:bCs/>
          <w:spacing w:val="2"/>
          <w:lang w:eastAsia="zh-CN"/>
        </w:rPr>
      </w:pPr>
      <w:r>
        <w:rPr>
          <w:rFonts w:hint="eastAsia" w:ascii="黑体" w:hAnsi="黑体" w:eastAsia="黑体" w:cs="黑体"/>
          <w:b/>
          <w:spacing w:val="2"/>
          <w:lang w:eastAsia="zh-CN"/>
        </w:rPr>
        <w:t>3.信息安全行业：</w:t>
      </w:r>
      <w:r>
        <w:rPr>
          <w:rFonts w:hint="eastAsia"/>
          <w:bCs/>
          <w:spacing w:val="2"/>
          <w:lang w:eastAsia="zh-CN"/>
        </w:rPr>
        <w:t>指保障信息内容和网络不受侵害的软件、支持与应用系统及相关服务。包括信息安全产品、云计算安全产品、工控安全产品、移动安全、云端安全服务、安全咨询、安全集成实施、安全运维、安全培训等。</w:t>
      </w:r>
    </w:p>
    <w:p>
      <w:pPr>
        <w:pStyle w:val="10"/>
        <w:spacing w:line="360" w:lineRule="auto"/>
        <w:ind w:left="198" w:right="62" w:firstLine="420"/>
        <w:rPr>
          <w:bCs/>
          <w:lang w:eastAsia="zh-CN"/>
        </w:rPr>
      </w:pPr>
      <w:r>
        <w:rPr>
          <w:b/>
          <w:lang w:eastAsia="zh-CN"/>
        </w:rPr>
        <w:t>（1）信息安全产品：</w:t>
      </w:r>
      <w:r>
        <w:rPr>
          <w:bCs/>
          <w:lang w:eastAsia="zh-CN"/>
        </w:rPr>
        <w:t>指企业开发的保障信息内容、信息系统和网络不受侵害的软件及支持与应用系统。</w:t>
      </w:r>
      <w:r>
        <w:rPr>
          <w:rFonts w:hint="eastAsia"/>
          <w:bCs/>
          <w:lang w:eastAsia="zh-CN"/>
        </w:rPr>
        <w:t>包括：基础类安全产品、终端与数字内容安全产品、网络与边界安全产品、专用安全产品、安全测试评估与服务产品、安全管理产品等。</w:t>
      </w:r>
    </w:p>
    <w:p>
      <w:pPr>
        <w:pStyle w:val="10"/>
        <w:spacing w:line="360" w:lineRule="auto"/>
        <w:ind w:left="198" w:right="62" w:firstLine="420"/>
        <w:jc w:val="both"/>
        <w:rPr>
          <w:bCs/>
          <w:lang w:eastAsia="zh-CN"/>
        </w:rPr>
      </w:pPr>
      <w:r>
        <w:rPr>
          <w:b/>
          <w:lang w:eastAsia="zh-CN"/>
        </w:rPr>
        <w:t>（2）云计算安全产品：</w:t>
      </w:r>
      <w:r>
        <w:rPr>
          <w:bCs/>
          <w:lang w:eastAsia="zh-CN"/>
        </w:rPr>
        <w:t>指保护云计算自身的安全，给云计算中心提供安全防护的产品及相应的集成实施和运维服务。包括虚拟防火墙、虚拟数据库审计、虚拟安全管理、访问控制等</w:t>
      </w:r>
      <w:r>
        <w:rPr>
          <w:rFonts w:hint="eastAsia"/>
          <w:bCs/>
          <w:lang w:eastAsia="zh-CN"/>
        </w:rPr>
        <w:t>。</w:t>
      </w:r>
    </w:p>
    <w:p>
      <w:pPr>
        <w:pStyle w:val="10"/>
        <w:spacing w:line="360" w:lineRule="auto"/>
        <w:ind w:left="198" w:right="62" w:firstLine="420"/>
        <w:jc w:val="both"/>
        <w:rPr>
          <w:bCs/>
          <w:lang w:eastAsia="zh-CN"/>
        </w:rPr>
      </w:pPr>
      <w:r>
        <w:rPr>
          <w:b/>
          <w:lang w:eastAsia="zh-CN"/>
        </w:rPr>
        <w:t>（3）工控安全产品：</w:t>
      </w:r>
      <w:r>
        <w:rPr>
          <w:bCs/>
          <w:lang w:eastAsia="zh-CN"/>
        </w:rPr>
        <w:t>主要包括工控防火墙、工控安全监测与审计系统、工控漏洞扫描、工控漏洞挖掘、工控异常检测等。</w:t>
      </w:r>
    </w:p>
    <w:p>
      <w:pPr>
        <w:pStyle w:val="10"/>
        <w:spacing w:line="360" w:lineRule="auto"/>
        <w:ind w:left="198" w:right="62" w:firstLine="420"/>
        <w:jc w:val="both"/>
        <w:rPr>
          <w:bCs/>
          <w:lang w:eastAsia="zh-CN"/>
        </w:rPr>
      </w:pPr>
      <w:r>
        <w:rPr>
          <w:b/>
          <w:lang w:eastAsia="zh-CN"/>
        </w:rPr>
        <w:t>（4）移动安全：</w:t>
      </w:r>
      <w:r>
        <w:rPr>
          <w:bCs/>
          <w:lang w:eastAsia="zh-CN"/>
        </w:rPr>
        <w:t>提供APP安全保护、移动威胁情报、事前/事后应急响应等服务，确保移动应用自身的安全，避免被黑客攻击利用等安全问题发生。</w:t>
      </w:r>
    </w:p>
    <w:p>
      <w:pPr>
        <w:pStyle w:val="10"/>
        <w:spacing w:line="360" w:lineRule="auto"/>
        <w:ind w:left="198" w:right="62" w:firstLine="420"/>
        <w:jc w:val="both"/>
        <w:rPr>
          <w:bCs/>
          <w:lang w:eastAsia="zh-CN"/>
        </w:rPr>
      </w:pPr>
      <w:r>
        <w:rPr>
          <w:b/>
          <w:lang w:eastAsia="zh-CN"/>
        </w:rPr>
        <w:t>（5）云端安全服务：</w:t>
      </w:r>
      <w:r>
        <w:rPr>
          <w:bCs/>
          <w:lang w:eastAsia="zh-CN"/>
        </w:rPr>
        <w:t>通过云平台提供的安全服务。包括高抗DDOS、网站漏洞扫描平台、CDN、缓存加速、态势感知、堡垒机、网站安全监测等。</w:t>
      </w:r>
    </w:p>
    <w:p>
      <w:pPr>
        <w:spacing w:line="360" w:lineRule="auto"/>
        <w:ind w:left="635"/>
        <w:rPr>
          <w:b/>
          <w:sz w:val="21"/>
          <w:lang w:eastAsia="zh-CN"/>
        </w:rPr>
      </w:pPr>
      <w:r>
        <w:rPr>
          <w:rFonts w:hint="eastAsia"/>
          <w:b/>
          <w:w w:val="95"/>
          <w:sz w:val="21"/>
          <w:lang w:eastAsia="zh-CN"/>
        </w:rPr>
        <w:t>（6）安全咨询：</w:t>
      </w:r>
      <w:r>
        <w:rPr>
          <w:rFonts w:hint="eastAsia"/>
          <w:bCs/>
          <w:sz w:val="21"/>
          <w:lang w:eastAsia="zh-CN"/>
        </w:rPr>
        <w:t>协助需方提升和优化安全管理的咨询服务。</w:t>
      </w:r>
    </w:p>
    <w:p>
      <w:pPr>
        <w:spacing w:line="360" w:lineRule="auto"/>
        <w:ind w:left="635"/>
        <w:rPr>
          <w:bCs/>
          <w:sz w:val="21"/>
          <w:lang w:eastAsia="zh-CN"/>
        </w:rPr>
      </w:pPr>
      <w:r>
        <w:rPr>
          <w:rFonts w:hint="eastAsia"/>
          <w:b/>
          <w:w w:val="95"/>
          <w:sz w:val="21"/>
          <w:lang w:eastAsia="zh-CN"/>
        </w:rPr>
        <w:t>（7）安全集成实施：</w:t>
      </w:r>
      <w:r>
        <w:rPr>
          <w:rFonts w:hint="eastAsia"/>
          <w:bCs/>
          <w:sz w:val="21"/>
          <w:lang w:eastAsia="zh-CN"/>
        </w:rPr>
        <w:t>满足信息系统安全技术要求和安全管理要求的集成实施服务。</w:t>
      </w:r>
    </w:p>
    <w:p>
      <w:pPr>
        <w:pStyle w:val="10"/>
        <w:spacing w:line="360" w:lineRule="auto"/>
        <w:ind w:left="198" w:right="62" w:firstLine="420"/>
        <w:jc w:val="both"/>
        <w:rPr>
          <w:bCs/>
          <w:lang w:eastAsia="zh-CN"/>
        </w:rPr>
      </w:pPr>
      <w:r>
        <w:rPr>
          <w:b/>
          <w:lang w:eastAsia="zh-CN"/>
        </w:rPr>
        <w:t>（8）安全运维：</w:t>
      </w:r>
      <w:r>
        <w:rPr>
          <w:bCs/>
          <w:lang w:eastAsia="zh-CN"/>
        </w:rPr>
        <w:t>对信息系统提供的安全巡检、安全加固、脆弱性检查、渗透性测试、安全风险评估、应急保障等服务。</w:t>
      </w:r>
    </w:p>
    <w:p>
      <w:pPr>
        <w:spacing w:line="360" w:lineRule="auto"/>
        <w:ind w:left="635"/>
        <w:rPr>
          <w:bCs/>
          <w:sz w:val="21"/>
          <w:szCs w:val="21"/>
          <w:lang w:eastAsia="zh-CN"/>
        </w:rPr>
      </w:pPr>
      <w:r>
        <w:rPr>
          <w:rFonts w:hint="eastAsia"/>
          <w:b/>
          <w:w w:val="95"/>
          <w:sz w:val="21"/>
          <w:lang w:eastAsia="zh-CN"/>
        </w:rPr>
        <w:t>（9）安全培训：</w:t>
      </w:r>
      <w:r>
        <w:rPr>
          <w:bCs/>
          <w:sz w:val="21"/>
          <w:szCs w:val="21"/>
          <w:lang w:eastAsia="zh-CN"/>
        </w:rPr>
        <w:t>针对信息安全提供的培训服务。</w:t>
      </w:r>
    </w:p>
    <w:p>
      <w:pPr>
        <w:pStyle w:val="10"/>
        <w:spacing w:before="46" w:line="360" w:lineRule="auto"/>
        <w:ind w:left="100" w:right="134" w:firstLine="420"/>
        <w:jc w:val="both"/>
        <w:rPr>
          <w:bCs/>
          <w:lang w:eastAsia="zh-CN"/>
        </w:rPr>
      </w:pPr>
      <w:r>
        <w:rPr>
          <w:rFonts w:hint="eastAsia" w:ascii="黑体" w:hAnsi="黑体" w:eastAsia="黑体" w:cs="黑体"/>
          <w:b/>
          <w:spacing w:val="2"/>
          <w:lang w:eastAsia="zh-CN"/>
        </w:rPr>
        <w:t>4.嵌入式系统软件行业：</w:t>
      </w:r>
      <w:r>
        <w:rPr>
          <w:rFonts w:hint="eastAsia"/>
          <w:bCs/>
          <w:spacing w:val="2"/>
          <w:lang w:eastAsia="zh-CN"/>
        </w:rPr>
        <w:t>指</w:t>
      </w:r>
      <w:r>
        <w:rPr>
          <w:rFonts w:hint="eastAsia"/>
          <w:bCs/>
          <w:lang w:eastAsia="zh-CN"/>
        </w:rPr>
        <w:t>以应用为中心编制的，并镶嵌和固化在硬件中，与硬件共同构成完整功能的软件产品。（注：特指制造业企业自主研发并使用的嵌入式系统软件。）</w:t>
      </w:r>
    </w:p>
    <w:p>
      <w:pPr>
        <w:pStyle w:val="10"/>
        <w:rPr>
          <w:sz w:val="20"/>
          <w:lang w:eastAsia="zh-CN"/>
        </w:rPr>
      </w:pPr>
    </w:p>
    <w:p>
      <w:pPr>
        <w:pStyle w:val="10"/>
        <w:rPr>
          <w:sz w:val="20"/>
          <w:lang w:eastAsia="zh-CN"/>
        </w:rPr>
      </w:pPr>
    </w:p>
    <w:p>
      <w:pPr>
        <w:spacing w:before="7" w:line="360" w:lineRule="auto"/>
        <w:ind w:left="320"/>
        <w:rPr>
          <w:rFonts w:ascii="黑体" w:hAnsi="黑体" w:eastAsia="黑体" w:cs="黑体"/>
          <w:b/>
          <w:w w:val="95"/>
          <w:sz w:val="21"/>
          <w:lang w:eastAsia="zh-CN"/>
        </w:rPr>
      </w:pPr>
      <w:r>
        <w:rPr>
          <w:rFonts w:hint="eastAsia" w:ascii="黑体" w:hAnsi="黑体" w:eastAsia="黑体" w:cs="黑体"/>
          <w:b/>
          <w:w w:val="95"/>
          <w:sz w:val="21"/>
          <w:lang w:eastAsia="zh-CN"/>
        </w:rPr>
        <w:t>第二部分：填报原则</w:t>
      </w:r>
    </w:p>
    <w:p>
      <w:pPr>
        <w:pStyle w:val="10"/>
        <w:spacing w:before="46" w:line="360" w:lineRule="auto"/>
        <w:ind w:left="100" w:right="134" w:firstLine="420"/>
        <w:jc w:val="both"/>
        <w:rPr>
          <w:bCs/>
          <w:lang w:eastAsia="zh-CN"/>
        </w:rPr>
      </w:pPr>
      <w:r>
        <w:rPr>
          <w:rFonts w:hint="eastAsia"/>
          <w:bCs/>
          <w:lang w:eastAsia="zh-CN"/>
        </w:rPr>
        <w:t>1.系统集成中单独开具发票的软件收入按“软件产品收入”进行填报。</w:t>
      </w:r>
    </w:p>
    <w:p>
      <w:pPr>
        <w:pStyle w:val="10"/>
        <w:spacing w:before="46" w:line="360" w:lineRule="auto"/>
        <w:ind w:left="100" w:right="134" w:firstLine="420"/>
        <w:jc w:val="both"/>
        <w:rPr>
          <w:bCs/>
          <w:lang w:eastAsia="zh-CN"/>
        </w:rPr>
      </w:pPr>
      <w:r>
        <w:rPr>
          <w:rFonts w:hint="eastAsia"/>
          <w:bCs/>
          <w:lang w:eastAsia="zh-CN"/>
        </w:rPr>
        <w:t>2.软件企业承担其他硬件厂商委托开发研制的，但不需要向硬件产品中镶嵌灌入，其嵌入式软件收入根据合同金额按“软件产品收入”进行填报。</w:t>
      </w:r>
    </w:p>
    <w:p>
      <w:pPr>
        <w:pStyle w:val="10"/>
        <w:spacing w:before="46" w:line="360" w:lineRule="auto"/>
        <w:ind w:left="100" w:right="134" w:firstLine="420"/>
        <w:jc w:val="both"/>
        <w:rPr>
          <w:bCs/>
          <w:lang w:eastAsia="zh-CN"/>
        </w:rPr>
      </w:pPr>
      <w:r>
        <w:rPr>
          <w:rFonts w:hint="eastAsia"/>
          <w:bCs/>
          <w:lang w:eastAsia="zh-CN"/>
        </w:rPr>
        <w:t>3.企业从事开发研制软件产品并以云形式提供给需方的，若功能和以传统软件许可等形式销售的软件产品相比没有发生改变，则按“软件产品收入”进行填报。</w:t>
      </w:r>
    </w:p>
    <w:p>
      <w:pPr>
        <w:pStyle w:val="10"/>
        <w:spacing w:before="46" w:line="360" w:lineRule="auto"/>
        <w:ind w:left="100" w:right="134" w:firstLine="420"/>
        <w:jc w:val="both"/>
        <w:rPr>
          <w:bCs/>
          <w:lang w:eastAsia="zh-CN"/>
        </w:rPr>
      </w:pPr>
      <w:r>
        <w:rPr>
          <w:rFonts w:hint="eastAsia"/>
          <w:bCs/>
          <w:lang w:eastAsia="zh-CN"/>
        </w:rPr>
        <w:t>4.企业从事信息安全相关云服务的，按“信息安全收入”进行填报，不再计入信息技术服务中的“云服务收入”。</w:t>
      </w:r>
    </w:p>
    <w:p>
      <w:pPr>
        <w:pStyle w:val="10"/>
        <w:rPr>
          <w:sz w:val="20"/>
          <w:lang w:eastAsia="zh-CN"/>
        </w:rPr>
      </w:pPr>
    </w:p>
    <w:p>
      <w:pPr>
        <w:pStyle w:val="10"/>
        <w:rPr>
          <w:sz w:val="20"/>
          <w:lang w:eastAsia="zh-CN"/>
        </w:rPr>
      </w:pPr>
    </w:p>
    <w:p>
      <w:pPr>
        <w:spacing w:before="7" w:line="360" w:lineRule="auto"/>
        <w:ind w:left="320"/>
        <w:rPr>
          <w:rFonts w:ascii="黑体" w:hAnsi="黑体" w:eastAsia="黑体" w:cs="黑体"/>
          <w:b/>
          <w:w w:val="95"/>
          <w:sz w:val="21"/>
          <w:lang w:eastAsia="zh-CN"/>
        </w:rPr>
      </w:pPr>
      <w:r>
        <w:rPr>
          <w:rFonts w:hint="eastAsia" w:ascii="黑体" w:hAnsi="黑体" w:eastAsia="黑体" w:cs="黑体"/>
          <w:b/>
          <w:w w:val="95"/>
          <w:sz w:val="21"/>
          <w:lang w:eastAsia="zh-CN"/>
        </w:rPr>
        <w:t>第</w:t>
      </w:r>
      <w:r>
        <w:rPr>
          <w:rFonts w:ascii="黑体" w:hAnsi="黑体" w:eastAsia="黑体" w:cs="黑体"/>
          <w:b/>
          <w:w w:val="95"/>
          <w:sz w:val="21"/>
          <w:lang w:eastAsia="zh-CN"/>
        </w:rPr>
        <w:t>三</w:t>
      </w:r>
      <w:r>
        <w:rPr>
          <w:rFonts w:hint="eastAsia" w:ascii="黑体" w:hAnsi="黑体" w:eastAsia="黑体" w:cs="黑体"/>
          <w:b/>
          <w:w w:val="95"/>
          <w:sz w:val="21"/>
          <w:lang w:eastAsia="zh-CN"/>
        </w:rPr>
        <w:t>部分：主要指标解释及填报方法</w:t>
      </w:r>
    </w:p>
    <w:p>
      <w:pPr>
        <w:spacing w:line="360" w:lineRule="auto"/>
        <w:ind w:firstLine="399" w:firstLineChars="200"/>
        <w:rPr>
          <w:rFonts w:ascii="黑体" w:hAnsi="黑体" w:eastAsia="黑体" w:cs="黑体"/>
          <w:b/>
          <w:bCs/>
          <w:sz w:val="21"/>
          <w:szCs w:val="21"/>
          <w:lang w:eastAsia="zh-CN"/>
        </w:rPr>
      </w:pPr>
      <w:r>
        <w:rPr>
          <w:rFonts w:hint="eastAsia" w:ascii="黑体" w:hAnsi="黑体" w:eastAsia="黑体" w:cs="黑体"/>
          <w:b/>
          <w:bCs/>
          <w:w w:val="95"/>
          <w:sz w:val="21"/>
          <w:szCs w:val="21"/>
          <w:lang w:eastAsia="zh-CN"/>
        </w:rPr>
        <w:t>反映企业财务方面的指标</w:t>
      </w:r>
    </w:p>
    <w:p>
      <w:pPr>
        <w:pStyle w:val="10"/>
        <w:spacing w:line="360" w:lineRule="auto"/>
        <w:ind w:right="232" w:firstLine="420"/>
        <w:jc w:val="both"/>
        <w:rPr>
          <w:lang w:eastAsia="zh-CN"/>
        </w:rPr>
      </w:pPr>
      <w:r>
        <w:rPr>
          <w:rFonts w:hint="eastAsia" w:ascii="黑体" w:hAnsi="黑体" w:eastAsia="黑体" w:cs="黑体"/>
          <w:b/>
          <w:lang w:eastAsia="zh-CN"/>
        </w:rPr>
        <w:t>1．营业收入：</w:t>
      </w:r>
      <w:r>
        <w:rPr>
          <w:lang w:eastAsia="zh-CN"/>
        </w:rPr>
        <w:t>指企业在报告期内生产经营活动过程中形成的总收入。根据会计“利润表”中对应指标的本年累计数填列。</w:t>
      </w:r>
    </w:p>
    <w:p>
      <w:pPr>
        <w:pStyle w:val="10"/>
        <w:spacing w:line="360" w:lineRule="auto"/>
        <w:ind w:right="232" w:firstLine="420"/>
        <w:jc w:val="both"/>
        <w:rPr>
          <w:bCs/>
          <w:lang w:eastAsia="zh-CN"/>
        </w:rPr>
      </w:pPr>
      <w:r>
        <w:rPr>
          <w:rFonts w:hint="eastAsia" w:ascii="黑体" w:hAnsi="黑体" w:eastAsia="黑体" w:cs="黑体"/>
          <w:b/>
          <w:lang w:eastAsia="zh-CN"/>
        </w:rPr>
        <w:t>2．主营业务收入：</w:t>
      </w:r>
      <w:r>
        <w:rPr>
          <w:rFonts w:hint="eastAsia"/>
          <w:bCs/>
          <w:lang w:eastAsia="zh-CN"/>
        </w:rPr>
        <w:t>根据会计“利润表”中对应指标的本年累计数填列。未执行 2001 年《企业会计制度》的企业，用“产品销售收入”的本期累计数代替。</w:t>
      </w:r>
    </w:p>
    <w:p>
      <w:pPr>
        <w:pStyle w:val="10"/>
        <w:spacing w:line="360" w:lineRule="auto"/>
        <w:ind w:right="232" w:firstLine="420"/>
        <w:jc w:val="both"/>
        <w:rPr>
          <w:bCs/>
          <w:lang w:eastAsia="zh-CN"/>
        </w:rPr>
      </w:pPr>
      <w:r>
        <w:rPr>
          <w:rFonts w:hint="eastAsia" w:ascii="黑体" w:hAnsi="黑体" w:eastAsia="黑体" w:cs="黑体"/>
          <w:b/>
          <w:lang w:eastAsia="zh-CN"/>
        </w:rPr>
        <w:t>3．主营业务成本：</w:t>
      </w:r>
      <w:r>
        <w:rPr>
          <w:rFonts w:hint="eastAsia"/>
          <w:bCs/>
          <w:lang w:eastAsia="zh-CN"/>
        </w:rPr>
        <w:t>根据会计“利润表”中对应指标的本年累计数填列。</w:t>
      </w:r>
    </w:p>
    <w:p>
      <w:pPr>
        <w:pStyle w:val="10"/>
        <w:spacing w:line="360" w:lineRule="auto"/>
        <w:ind w:right="232" w:firstLine="420"/>
        <w:jc w:val="both"/>
        <w:rPr>
          <w:bCs/>
          <w:lang w:eastAsia="zh-CN"/>
        </w:rPr>
      </w:pPr>
      <w:r>
        <w:rPr>
          <w:rFonts w:hint="eastAsia" w:ascii="黑体" w:hAnsi="黑体" w:eastAsia="黑体" w:cs="黑体"/>
          <w:b/>
          <w:lang w:eastAsia="zh-CN"/>
        </w:rPr>
        <w:t>4．主营业务税金及附加：</w:t>
      </w:r>
      <w:r>
        <w:rPr>
          <w:rFonts w:hint="eastAsia"/>
          <w:bCs/>
          <w:lang w:eastAsia="zh-CN"/>
        </w:rPr>
        <w:t>根据会计“利润表”中对应指标的本年累计数填列。</w:t>
      </w:r>
    </w:p>
    <w:p>
      <w:pPr>
        <w:pStyle w:val="10"/>
        <w:spacing w:line="360" w:lineRule="auto"/>
        <w:ind w:right="232" w:firstLine="420"/>
        <w:jc w:val="both"/>
        <w:rPr>
          <w:bCs/>
          <w:lang w:eastAsia="zh-CN"/>
        </w:rPr>
      </w:pPr>
      <w:r>
        <w:rPr>
          <w:rFonts w:hint="eastAsia" w:ascii="黑体" w:hAnsi="黑体" w:eastAsia="黑体" w:cs="黑体"/>
          <w:b/>
          <w:lang w:eastAsia="zh-CN"/>
        </w:rPr>
        <w:t>5．其他业务利润：</w:t>
      </w:r>
      <w:r>
        <w:rPr>
          <w:rFonts w:hint="eastAsia"/>
          <w:bCs/>
          <w:lang w:eastAsia="zh-CN"/>
        </w:rPr>
        <w:t>根据会计“利润表”中对应指标的本年期计数填列。</w:t>
      </w:r>
    </w:p>
    <w:p>
      <w:pPr>
        <w:pStyle w:val="10"/>
        <w:spacing w:line="360" w:lineRule="auto"/>
        <w:ind w:right="232" w:firstLine="420"/>
        <w:jc w:val="both"/>
        <w:rPr>
          <w:bCs/>
          <w:lang w:eastAsia="zh-CN"/>
        </w:rPr>
      </w:pPr>
      <w:r>
        <w:rPr>
          <w:rFonts w:hint="eastAsia" w:ascii="黑体" w:hAnsi="黑体" w:eastAsia="黑体" w:cs="黑体"/>
          <w:b/>
          <w:lang w:eastAsia="zh-CN"/>
        </w:rPr>
        <w:t>6．销售费用：</w:t>
      </w:r>
      <w:r>
        <w:rPr>
          <w:rFonts w:hint="eastAsia"/>
          <w:bCs/>
          <w:lang w:eastAsia="zh-CN"/>
        </w:rPr>
        <w:t>根据会计“利润表”中对应指标的本年累计数填列。未执行 2007 年新会计准则的企业，用“营业费用”的本期累计数填列。</w:t>
      </w:r>
    </w:p>
    <w:p>
      <w:pPr>
        <w:pStyle w:val="10"/>
        <w:spacing w:line="360" w:lineRule="auto"/>
        <w:ind w:right="232" w:firstLine="420"/>
        <w:jc w:val="both"/>
        <w:rPr>
          <w:bCs/>
          <w:lang w:eastAsia="zh-CN"/>
        </w:rPr>
      </w:pPr>
      <w:r>
        <w:rPr>
          <w:rFonts w:hint="eastAsia" w:ascii="黑体" w:hAnsi="黑体" w:eastAsia="黑体" w:cs="黑体"/>
          <w:b/>
          <w:lang w:eastAsia="zh-CN"/>
        </w:rPr>
        <w:t>7．管理费用：</w:t>
      </w:r>
      <w:r>
        <w:rPr>
          <w:rFonts w:hint="eastAsia"/>
          <w:bCs/>
          <w:lang w:eastAsia="zh-CN"/>
        </w:rPr>
        <w:t>指企业行政管理部门为组织和管理生产经营活动而发生的各项费用。根据会计“利润表”中对应指标的本期累计数填列。</w:t>
      </w:r>
    </w:p>
    <w:p>
      <w:pPr>
        <w:pStyle w:val="10"/>
        <w:spacing w:line="360" w:lineRule="auto"/>
        <w:ind w:right="232" w:firstLine="420"/>
        <w:jc w:val="both"/>
        <w:rPr>
          <w:bCs/>
          <w:lang w:eastAsia="zh-CN"/>
        </w:rPr>
      </w:pPr>
      <w:r>
        <w:rPr>
          <w:rFonts w:hint="eastAsia" w:ascii="黑体" w:hAnsi="黑体" w:eastAsia="黑体" w:cs="黑体"/>
          <w:b/>
          <w:lang w:eastAsia="zh-CN"/>
        </w:rPr>
        <w:t>8．财务费用：</w:t>
      </w:r>
      <w:r>
        <w:rPr>
          <w:rFonts w:hint="eastAsia"/>
          <w:bCs/>
          <w:lang w:eastAsia="zh-CN"/>
        </w:rPr>
        <w:t>指企业为筹集生产经营所需资金等而发生的费用，包括利息支出、汇兑损失以及相关的金融机构手续费等。根据会计“利润表”中对应指标的本期累计数填列。</w:t>
      </w:r>
    </w:p>
    <w:p>
      <w:pPr>
        <w:pStyle w:val="10"/>
        <w:spacing w:line="360" w:lineRule="auto"/>
        <w:ind w:right="232" w:firstLine="420"/>
        <w:jc w:val="both"/>
        <w:rPr>
          <w:bCs/>
          <w:lang w:eastAsia="zh-CN"/>
        </w:rPr>
      </w:pPr>
      <w:r>
        <w:rPr>
          <w:rFonts w:hint="eastAsia" w:ascii="黑体" w:hAnsi="黑体" w:eastAsia="黑体" w:cs="黑体"/>
          <w:b/>
          <w:lang w:eastAsia="zh-CN"/>
        </w:rPr>
        <w:t>9．利息净支出：</w:t>
      </w:r>
      <w:r>
        <w:rPr>
          <w:rFonts w:hint="eastAsia"/>
          <w:bCs/>
          <w:lang w:eastAsia="zh-CN"/>
        </w:rPr>
        <w:t>指企业在生产经营期间利息支出扣除利息收入后的净额。根据会计“财务费用”科目归纳计算本期累计数填列。</w:t>
      </w:r>
    </w:p>
    <w:p>
      <w:pPr>
        <w:pStyle w:val="10"/>
        <w:spacing w:line="360" w:lineRule="auto"/>
        <w:ind w:right="232" w:firstLine="420"/>
        <w:jc w:val="both"/>
        <w:rPr>
          <w:bCs/>
          <w:lang w:eastAsia="zh-CN"/>
        </w:rPr>
      </w:pPr>
      <w:r>
        <w:rPr>
          <w:rFonts w:hint="eastAsia" w:ascii="黑体" w:hAnsi="黑体" w:eastAsia="黑体" w:cs="黑体"/>
          <w:b/>
          <w:lang w:eastAsia="zh-CN"/>
        </w:rPr>
        <w:t>10.资产减值损失：</w:t>
      </w:r>
      <w:r>
        <w:rPr>
          <w:rFonts w:hint="eastAsia"/>
          <w:bCs/>
          <w:lang w:eastAsia="zh-CN"/>
        </w:rPr>
        <w:t>指企业在资产负债表日，经过对资产的测试，判断资产的可收回金额低于的其账面价值而计提资产减值损失准备所确认的相应损失。根据会计“利润表”中对应指标的“本期累计数”填列。未执行 2007 年新会计准则的企业免填。</w:t>
      </w:r>
    </w:p>
    <w:p>
      <w:pPr>
        <w:pStyle w:val="10"/>
        <w:spacing w:line="360" w:lineRule="auto"/>
        <w:ind w:right="232" w:firstLine="420"/>
        <w:jc w:val="both"/>
        <w:rPr>
          <w:bCs/>
          <w:lang w:eastAsia="zh-CN"/>
        </w:rPr>
      </w:pPr>
      <w:r>
        <w:rPr>
          <w:rFonts w:hint="eastAsia" w:ascii="黑体" w:hAnsi="黑体" w:eastAsia="黑体" w:cs="黑体"/>
          <w:b/>
          <w:lang w:eastAsia="zh-CN"/>
        </w:rPr>
        <w:t>11.公允价值变动收益：</w:t>
      </w:r>
      <w:r>
        <w:rPr>
          <w:rFonts w:hint="eastAsia"/>
          <w:bCs/>
          <w:lang w:eastAsia="zh-CN"/>
        </w:rPr>
        <w:t>指企业的交易性金融资产、交易性金融负债，以及采用公允价值模式计量的投资性房地产、衍生工具、套期保值业务等公允价值变动形成的应计入当期损益的利得或损失。根据“利润表”中的“公允价值变动收益”填列，如为净损失以“－”号   记。未执行 2007 年新会计准则的企业免填。</w:t>
      </w:r>
    </w:p>
    <w:p>
      <w:pPr>
        <w:pStyle w:val="10"/>
        <w:spacing w:line="360" w:lineRule="auto"/>
        <w:ind w:right="232" w:firstLine="420"/>
        <w:jc w:val="both"/>
        <w:rPr>
          <w:bCs/>
          <w:lang w:eastAsia="zh-CN"/>
        </w:rPr>
      </w:pPr>
      <w:r>
        <w:rPr>
          <w:rFonts w:hint="eastAsia" w:ascii="黑体" w:hAnsi="黑体" w:eastAsia="黑体" w:cs="黑体"/>
          <w:b/>
          <w:lang w:eastAsia="zh-CN"/>
        </w:rPr>
        <w:t>12.投资收益：</w:t>
      </w:r>
      <w:r>
        <w:rPr>
          <w:rFonts w:hint="eastAsia"/>
          <w:bCs/>
          <w:lang w:eastAsia="zh-CN"/>
        </w:rPr>
        <w:t>根据企业会计“利润表”中“投资收益”项的本期累计数填列。</w:t>
      </w:r>
    </w:p>
    <w:p>
      <w:pPr>
        <w:pStyle w:val="10"/>
        <w:spacing w:line="360" w:lineRule="auto"/>
        <w:ind w:right="232" w:firstLine="420"/>
        <w:jc w:val="both"/>
        <w:rPr>
          <w:bCs/>
          <w:lang w:eastAsia="zh-CN"/>
        </w:rPr>
      </w:pPr>
      <w:r>
        <w:rPr>
          <w:rFonts w:hint="eastAsia" w:ascii="黑体" w:hAnsi="黑体" w:eastAsia="黑体" w:cs="黑体"/>
          <w:b/>
          <w:lang w:eastAsia="zh-CN"/>
        </w:rPr>
        <w:t>13.资产处置收益：</w:t>
      </w:r>
      <w:r>
        <w:rPr>
          <w:rFonts w:hint="eastAsia"/>
          <w:bCs/>
          <w:lang w:eastAsia="zh-CN"/>
        </w:rPr>
        <w:t>反映企业出售划分为持有待售的非流动资产（金融工具、长期股权投资和投资性房地产除外）或处置组时确认的处置利得或损失，以及处置未划分为持有待售的固定资产、在建工程、生产性生物资产及无形资产而产生的处置利得或损失。债务重组中因处置非流动资产产生的利得或损失和非货币性资产交换产生的利得或损失也包括在本项目内。该项目应根据在损益类科目新设置的“资产处置损益”科目的发生额分析填列；如为处置损失，以“-”号填列。</w:t>
      </w:r>
    </w:p>
    <w:p>
      <w:pPr>
        <w:pStyle w:val="10"/>
        <w:spacing w:line="360" w:lineRule="auto"/>
        <w:ind w:right="232" w:firstLine="420"/>
        <w:jc w:val="both"/>
        <w:rPr>
          <w:bCs/>
          <w:lang w:eastAsia="zh-CN"/>
        </w:rPr>
      </w:pPr>
      <w:r>
        <w:rPr>
          <w:rFonts w:hint="eastAsia" w:ascii="黑体" w:hAnsi="黑体" w:eastAsia="黑体" w:cs="黑体"/>
          <w:b/>
          <w:lang w:eastAsia="zh-CN"/>
        </w:rPr>
        <w:t>14.其他收益：</w:t>
      </w:r>
      <w:r>
        <w:rPr>
          <w:rFonts w:hint="eastAsia"/>
          <w:bCs/>
          <w:lang w:eastAsia="zh-CN"/>
        </w:rPr>
        <w:t>反映计入其他收益的政府补助等。该项目应根据在损益类科目新设置的“其他收益”科目的发生额分析填列。</w:t>
      </w:r>
    </w:p>
    <w:p>
      <w:pPr>
        <w:pStyle w:val="10"/>
        <w:spacing w:line="360" w:lineRule="auto"/>
        <w:ind w:right="232" w:firstLine="420"/>
        <w:jc w:val="both"/>
        <w:rPr>
          <w:bCs/>
          <w:lang w:eastAsia="zh-CN"/>
        </w:rPr>
      </w:pPr>
      <w:r>
        <w:rPr>
          <w:rFonts w:hint="eastAsia" w:ascii="黑体" w:hAnsi="黑体" w:eastAsia="黑体" w:cs="黑体"/>
          <w:b/>
          <w:lang w:eastAsia="zh-CN"/>
        </w:rPr>
        <w:t>15．营业利润：</w:t>
      </w:r>
      <w:r>
        <w:rPr>
          <w:rFonts w:hint="eastAsia"/>
          <w:bCs/>
          <w:lang w:eastAsia="zh-CN"/>
        </w:rPr>
        <w:t>指企业从事生产经营活动所产生的利润，即主营业务利润加其他业务利润扣除管理费用、财务费用等后的净额。根据会计“利润表”中对应指标的本期累计数填列。</w:t>
      </w:r>
    </w:p>
    <w:p>
      <w:pPr>
        <w:pStyle w:val="10"/>
        <w:spacing w:line="360" w:lineRule="auto"/>
        <w:ind w:right="232" w:firstLine="420"/>
        <w:jc w:val="both"/>
        <w:rPr>
          <w:bCs/>
          <w:lang w:eastAsia="zh-CN"/>
        </w:rPr>
      </w:pPr>
      <w:r>
        <w:rPr>
          <w:rFonts w:hint="eastAsia"/>
          <w:bCs/>
          <w:lang w:eastAsia="zh-CN"/>
        </w:rPr>
        <w:t>计算公式：</w:t>
      </w:r>
    </w:p>
    <w:p>
      <w:pPr>
        <w:spacing w:line="360" w:lineRule="auto"/>
        <w:ind w:left="220" w:firstLine="421" w:firstLineChars="200"/>
        <w:jc w:val="both"/>
        <w:rPr>
          <w:b/>
          <w:bCs/>
          <w:sz w:val="21"/>
          <w:szCs w:val="21"/>
          <w:lang w:eastAsia="zh-CN"/>
        </w:rPr>
      </w:pPr>
      <w:r>
        <w:rPr>
          <w:rFonts w:hint="eastAsia"/>
          <w:b/>
          <w:bCs/>
          <w:sz w:val="21"/>
          <w:szCs w:val="21"/>
          <w:lang w:eastAsia="zh-CN"/>
        </w:rPr>
        <w:t>营业利润 = 主营业务收入-主营业务成本-主营业务税金及附加+其他业务利润-销售费用-管理费用-财务费用-资产减值损失+公允价值变动收益（-公允价值变动损失）+投资收益（-投资损失）+资产处置收益（-资产处置损失）+其他收益</w:t>
      </w:r>
    </w:p>
    <w:p>
      <w:pPr>
        <w:pStyle w:val="10"/>
        <w:spacing w:line="360" w:lineRule="auto"/>
        <w:ind w:right="232" w:firstLine="420"/>
        <w:jc w:val="both"/>
        <w:rPr>
          <w:bCs/>
          <w:lang w:eastAsia="zh-CN"/>
        </w:rPr>
      </w:pPr>
      <w:r>
        <w:rPr>
          <w:rFonts w:hint="eastAsia" w:ascii="黑体" w:hAnsi="黑体" w:eastAsia="黑体" w:cs="黑体"/>
          <w:b/>
          <w:lang w:eastAsia="zh-CN"/>
        </w:rPr>
        <w:t>16．利润总额：</w:t>
      </w:r>
      <w:r>
        <w:rPr>
          <w:rFonts w:hint="eastAsia"/>
          <w:bCs/>
          <w:lang w:eastAsia="zh-CN"/>
        </w:rPr>
        <w:t>指企业在生产经营过程中各种收入扣除各种耗费后的盈余，反映企业在报告期内实现的亏盈总额，包括营业利润和营业外收支净额。根据会计“利润表”中的对应指标的本期累计数填列。</w:t>
      </w:r>
    </w:p>
    <w:p>
      <w:pPr>
        <w:spacing w:line="360" w:lineRule="auto"/>
        <w:ind w:left="220" w:firstLine="440" w:firstLineChars="200"/>
        <w:jc w:val="both"/>
        <w:rPr>
          <w:b/>
          <w:bCs/>
          <w:lang w:eastAsia="zh-CN"/>
        </w:rPr>
      </w:pPr>
      <w:r>
        <w:rPr>
          <w:rFonts w:hint="eastAsia"/>
          <w:lang w:eastAsia="zh-CN"/>
        </w:rPr>
        <w:t>计算公式：</w:t>
      </w:r>
      <w:r>
        <w:rPr>
          <w:rFonts w:hint="eastAsia"/>
          <w:b/>
          <w:bCs/>
          <w:lang w:eastAsia="zh-CN"/>
        </w:rPr>
        <w:t>利润总额=营业利润+营业外收入-营业外支出</w:t>
      </w:r>
    </w:p>
    <w:p>
      <w:pPr>
        <w:spacing w:line="360" w:lineRule="auto"/>
        <w:ind w:firstLine="421" w:firstLineChars="200"/>
        <w:jc w:val="both"/>
        <w:rPr>
          <w:rFonts w:ascii="Times New Roman"/>
          <w:sz w:val="19"/>
          <w:lang w:eastAsia="zh-CN"/>
        </w:rPr>
      </w:pPr>
      <w:r>
        <w:rPr>
          <w:rFonts w:hint="eastAsia" w:ascii="黑体" w:hAnsi="黑体" w:eastAsia="黑体" w:cs="黑体"/>
          <w:b/>
          <w:sz w:val="21"/>
          <w:lang w:eastAsia="zh-CN"/>
        </w:rPr>
        <w:t>17．</w:t>
      </w:r>
      <w:r>
        <w:rPr>
          <w:rFonts w:hint="eastAsia" w:ascii="黑体" w:eastAsia="黑体"/>
          <w:b/>
          <w:szCs w:val="21"/>
          <w:lang w:eastAsia="zh-CN"/>
        </w:rPr>
        <w:t>流动资产：</w:t>
      </w:r>
      <w:r>
        <w:rPr>
          <w:rFonts w:hint="eastAsia"/>
          <w:bCs/>
          <w:sz w:val="21"/>
          <w:szCs w:val="21"/>
          <w:lang w:eastAsia="zh-CN"/>
        </w:rPr>
        <w:t>指企业可以在一年内或者超过一年的一个生产周期内变现或者耗用的资产，包括现金及各种存款、短期投资，应收及预付款项、存货等。根据会计“资产负债表”中“流动资产合计”项的“期末数”填列。</w:t>
      </w:r>
    </w:p>
    <w:p>
      <w:pPr>
        <w:pStyle w:val="10"/>
        <w:spacing w:line="360" w:lineRule="auto"/>
        <w:ind w:right="232" w:firstLine="420"/>
        <w:jc w:val="both"/>
        <w:rPr>
          <w:bCs/>
          <w:lang w:eastAsia="zh-CN"/>
        </w:rPr>
      </w:pPr>
      <w:r>
        <w:rPr>
          <w:rFonts w:hint="eastAsia" w:ascii="黑体" w:hAnsi="黑体" w:eastAsia="黑体" w:cs="黑体"/>
          <w:b/>
          <w:lang w:eastAsia="zh-CN"/>
        </w:rPr>
        <w:t>18.资产总计：</w:t>
      </w:r>
      <w:r>
        <w:rPr>
          <w:rFonts w:hint="eastAsia"/>
          <w:bCs/>
          <w:lang w:eastAsia="zh-CN"/>
        </w:rPr>
        <w:t>指企业拥有或控制的能以货币计量的经济资源，包括各种财产、债权和其他权利。资产按其流动性(即资产的变现能力和支付能力)划分为：流动资产、长期投资、固定资产、无形资产、递延资产和其他资产。根据会计“资产负债表”中“资产总计”项的期末数填列。</w:t>
      </w:r>
    </w:p>
    <w:p>
      <w:pPr>
        <w:pStyle w:val="10"/>
        <w:spacing w:line="360" w:lineRule="auto"/>
        <w:ind w:right="232" w:firstLine="420"/>
        <w:jc w:val="both"/>
        <w:rPr>
          <w:bCs/>
          <w:lang w:eastAsia="zh-CN"/>
        </w:rPr>
      </w:pPr>
      <w:r>
        <w:rPr>
          <w:rFonts w:hint="eastAsia" w:ascii="黑体" w:hAnsi="黑体" w:eastAsia="黑体" w:cs="黑体"/>
          <w:b/>
          <w:lang w:eastAsia="zh-CN"/>
        </w:rPr>
        <w:t>19．应收账款：</w:t>
      </w:r>
      <w:r>
        <w:rPr>
          <w:rFonts w:hint="eastAsia"/>
          <w:bCs/>
          <w:lang w:eastAsia="zh-CN"/>
        </w:rPr>
        <w:t>指企业因销售商品、产品、提供劳务等，应向购货单位或接受劳务单位收取款项。该指标根据会计“资产负债表”中“应收账款”项的“年末数”填报。</w:t>
      </w:r>
    </w:p>
    <w:p>
      <w:pPr>
        <w:pStyle w:val="10"/>
        <w:spacing w:line="360" w:lineRule="auto"/>
        <w:ind w:right="232" w:firstLine="420"/>
        <w:jc w:val="both"/>
        <w:rPr>
          <w:bCs/>
          <w:lang w:eastAsia="zh-CN"/>
        </w:rPr>
      </w:pPr>
      <w:r>
        <w:rPr>
          <w:rFonts w:hint="eastAsia" w:ascii="黑体" w:hAnsi="黑体" w:eastAsia="黑体" w:cs="黑体"/>
          <w:b/>
          <w:lang w:eastAsia="zh-CN"/>
        </w:rPr>
        <w:t>20.负债合计：</w:t>
      </w:r>
      <w:r>
        <w:rPr>
          <w:rFonts w:hint="eastAsia"/>
          <w:bCs/>
          <w:lang w:eastAsia="zh-CN"/>
        </w:rPr>
        <w:t>指企业所承担的能以货币计量，将以资产或劳务偿付的债务，偿还形式包括货币、资产或提供劳务。负债一般按偿还期长短分为流动负债和长期负债。根据会计“资产负债表”中“负债合计”的期末数填列。</w:t>
      </w:r>
    </w:p>
    <w:p>
      <w:pPr>
        <w:pStyle w:val="10"/>
        <w:spacing w:line="360" w:lineRule="auto"/>
        <w:ind w:right="232" w:firstLine="420"/>
        <w:jc w:val="both"/>
        <w:rPr>
          <w:rFonts w:ascii="黑体" w:hAnsi="黑体" w:eastAsia="黑体" w:cs="黑体"/>
          <w:b/>
          <w:lang w:eastAsia="zh-CN"/>
        </w:rPr>
      </w:pPr>
      <w:r>
        <w:rPr>
          <w:rFonts w:hint="eastAsia" w:ascii="黑体" w:hAnsi="黑体" w:eastAsia="黑体" w:cs="黑体"/>
          <w:b/>
          <w:lang w:eastAsia="zh-CN"/>
        </w:rPr>
        <w:t>21.应付账款：</w:t>
      </w:r>
      <w:r>
        <w:rPr>
          <w:rFonts w:hint="eastAsia"/>
          <w:bCs/>
          <w:lang w:eastAsia="zh-CN"/>
        </w:rPr>
        <w:t>根据会计“资产负债表”中的“应付账款”的年末贷方余额填报。</w:t>
      </w:r>
    </w:p>
    <w:p>
      <w:pPr>
        <w:pStyle w:val="10"/>
        <w:spacing w:line="360" w:lineRule="auto"/>
        <w:ind w:right="232" w:firstLine="421" w:firstLineChars="200"/>
        <w:jc w:val="both"/>
        <w:rPr>
          <w:bCs/>
          <w:lang w:eastAsia="zh-CN"/>
        </w:rPr>
      </w:pPr>
      <w:r>
        <w:rPr>
          <w:rFonts w:hint="eastAsia" w:ascii="黑体" w:hAnsi="黑体" w:eastAsia="黑体" w:cs="黑体"/>
          <w:b/>
          <w:lang w:eastAsia="zh-CN"/>
        </w:rPr>
        <w:t>22.所有者权益年末（年初）余额：</w:t>
      </w:r>
      <w:r>
        <w:rPr>
          <w:rFonts w:hint="eastAsia"/>
          <w:bCs/>
          <w:lang w:eastAsia="zh-CN"/>
        </w:rPr>
        <w:t>指企业投资者对企业净资产的所有权。企业净资产为企业全部资产与全部负债的差额，包括实收资本、资本公积金、盈余公积和未分配利润。本指标根据会计&lt;资产负债表&gt;中“所有者权益合计”项的“年末数、年初数”分别填列。所有者权益合计数值小于“0”时，表示企业资不抵债。</w:t>
      </w:r>
    </w:p>
    <w:p>
      <w:pPr>
        <w:pStyle w:val="10"/>
        <w:spacing w:line="360" w:lineRule="auto"/>
        <w:ind w:right="232" w:firstLine="420"/>
        <w:jc w:val="both"/>
        <w:rPr>
          <w:bCs/>
          <w:lang w:eastAsia="zh-CN"/>
        </w:rPr>
      </w:pPr>
      <w:r>
        <w:rPr>
          <w:rFonts w:hint="eastAsia" w:ascii="黑体" w:hAnsi="黑体" w:eastAsia="黑体" w:cs="黑体"/>
          <w:b/>
          <w:lang w:eastAsia="zh-CN"/>
        </w:rPr>
        <w:t>23.所得税费用：</w:t>
      </w:r>
      <w:r>
        <w:rPr>
          <w:rFonts w:hint="eastAsia"/>
          <w:bCs/>
          <w:lang w:eastAsia="zh-CN"/>
        </w:rPr>
        <w:t>指企业经营利润应交纳的所得税，属于损益类科目。根据会计“利润表”中的对应指标的“本年累计数”填列。</w:t>
      </w:r>
    </w:p>
    <w:p>
      <w:pPr>
        <w:pStyle w:val="10"/>
        <w:spacing w:line="360" w:lineRule="auto"/>
        <w:ind w:right="232" w:firstLine="420"/>
        <w:jc w:val="both"/>
        <w:rPr>
          <w:b/>
          <w:lang w:eastAsia="zh-CN"/>
        </w:rPr>
      </w:pPr>
      <w:r>
        <w:rPr>
          <w:rFonts w:hint="eastAsia"/>
          <w:bCs/>
          <w:lang w:eastAsia="zh-CN"/>
        </w:rPr>
        <w:t>计算公式为：</w:t>
      </w:r>
      <w:r>
        <w:rPr>
          <w:rFonts w:hint="eastAsia"/>
          <w:b/>
          <w:lang w:eastAsia="zh-CN"/>
        </w:rPr>
        <w:t>所得税费用=应交所得税+递延所得税</w:t>
      </w:r>
    </w:p>
    <w:p>
      <w:pPr>
        <w:pStyle w:val="10"/>
        <w:spacing w:line="360" w:lineRule="auto"/>
        <w:ind w:right="232" w:firstLine="420"/>
        <w:jc w:val="both"/>
        <w:rPr>
          <w:bCs/>
          <w:lang w:eastAsia="zh-CN"/>
        </w:rPr>
      </w:pPr>
      <w:r>
        <w:rPr>
          <w:rFonts w:hint="eastAsia" w:ascii="黑体" w:hAnsi="黑体" w:eastAsia="黑体" w:cs="黑体"/>
          <w:b/>
          <w:lang w:eastAsia="zh-CN"/>
        </w:rPr>
        <w:t>24.应交增值税：</w:t>
      </w:r>
      <w:r>
        <w:rPr>
          <w:rFonts w:hint="eastAsia"/>
          <w:bCs/>
          <w:lang w:eastAsia="zh-CN"/>
        </w:rPr>
        <w:t>指软件企业按税法规定,从事软件产品销售或软件服务等经营活动,在  本年内应交纳的增值税额。本指标根据“应上交应弥补款项表”中“本年应交数”填列。</w:t>
      </w:r>
    </w:p>
    <w:p>
      <w:pPr>
        <w:spacing w:line="360" w:lineRule="auto"/>
        <w:ind w:left="220" w:firstLine="420" w:firstLineChars="200"/>
        <w:jc w:val="both"/>
        <w:rPr>
          <w:b/>
          <w:sz w:val="21"/>
          <w:lang w:eastAsia="zh-CN"/>
        </w:rPr>
      </w:pPr>
      <w:r>
        <w:rPr>
          <w:rFonts w:hint="eastAsia"/>
          <w:sz w:val="21"/>
          <w:szCs w:val="21"/>
          <w:lang w:eastAsia="zh-CN"/>
        </w:rPr>
        <w:t>计算公式为:</w:t>
      </w:r>
    </w:p>
    <w:p>
      <w:pPr>
        <w:spacing w:line="360" w:lineRule="auto"/>
        <w:ind w:left="220" w:right="2363" w:firstLine="843" w:firstLineChars="400"/>
        <w:jc w:val="both"/>
        <w:rPr>
          <w:b/>
          <w:sz w:val="21"/>
          <w:szCs w:val="21"/>
          <w:lang w:eastAsia="zh-CN"/>
        </w:rPr>
      </w:pPr>
      <w:r>
        <w:rPr>
          <w:rFonts w:hint="eastAsia"/>
          <w:b/>
          <w:sz w:val="21"/>
          <w:szCs w:val="21"/>
          <w:lang w:eastAsia="zh-CN"/>
        </w:rPr>
        <w:t>应交增值税=销项税额-(进项税额-进项税额转出)</w:t>
      </w:r>
    </w:p>
    <w:p>
      <w:pPr>
        <w:spacing w:line="360" w:lineRule="auto"/>
        <w:ind w:firstLine="2108" w:firstLineChars="1000"/>
        <w:jc w:val="both"/>
        <w:rPr>
          <w:rFonts w:ascii="黑体"/>
          <w:b/>
          <w:sz w:val="15"/>
          <w:lang w:eastAsia="zh-CN"/>
        </w:rPr>
      </w:pPr>
      <w:r>
        <w:rPr>
          <w:rFonts w:hint="eastAsia"/>
          <w:b/>
          <w:sz w:val="21"/>
          <w:szCs w:val="21"/>
          <w:lang w:eastAsia="zh-CN"/>
        </w:rPr>
        <w:t>-出口抵减内销产品应交纳税额-减免税款+出口退税</w:t>
      </w:r>
    </w:p>
    <w:p>
      <w:pPr>
        <w:pStyle w:val="10"/>
        <w:spacing w:line="360" w:lineRule="auto"/>
        <w:ind w:right="232" w:firstLine="420"/>
        <w:jc w:val="both"/>
        <w:rPr>
          <w:bCs/>
          <w:lang w:eastAsia="zh-CN"/>
        </w:rPr>
      </w:pPr>
      <w:r>
        <w:rPr>
          <w:rFonts w:hint="eastAsia" w:ascii="黑体" w:hAnsi="黑体" w:eastAsia="黑体" w:cs="黑体"/>
          <w:b/>
          <w:lang w:eastAsia="zh-CN"/>
        </w:rPr>
        <w:t>25．出口已退税额：</w:t>
      </w:r>
      <w:r>
        <w:rPr>
          <w:rFonts w:hint="eastAsia"/>
          <w:bCs/>
          <w:lang w:eastAsia="zh-CN"/>
        </w:rPr>
        <w:t>指软件企业研制、开发、生产的软件出口，根据国家有关规定享受优惠政策，退回的已上交税务部门的税款。本指标根据会计“应上交应弥补款项表”中“本年度已收出口退税”的数值填列。</w:t>
      </w:r>
    </w:p>
    <w:p>
      <w:pPr>
        <w:pStyle w:val="10"/>
        <w:spacing w:line="360" w:lineRule="auto"/>
        <w:ind w:right="232" w:firstLine="420"/>
        <w:jc w:val="both"/>
        <w:rPr>
          <w:bCs/>
          <w:lang w:eastAsia="zh-CN"/>
        </w:rPr>
      </w:pPr>
      <w:r>
        <w:rPr>
          <w:rFonts w:hint="eastAsia" w:ascii="黑体" w:hAnsi="黑体" w:eastAsia="黑体" w:cs="黑体"/>
          <w:b/>
          <w:lang w:eastAsia="zh-CN"/>
        </w:rPr>
        <w:t>26．享受优惠政策已退税额：</w:t>
      </w:r>
      <w:r>
        <w:rPr>
          <w:rFonts w:hint="eastAsia"/>
          <w:bCs/>
          <w:lang w:eastAsia="zh-CN"/>
        </w:rPr>
        <w:t>指软件企业根据国家有关“软件企业减免增值税、所得税”的优惠政策，自报告期初至报告期末实际收到的退还给企业或实际减免的税款。</w:t>
      </w:r>
    </w:p>
    <w:p>
      <w:pPr>
        <w:pStyle w:val="10"/>
        <w:spacing w:line="360" w:lineRule="auto"/>
        <w:ind w:right="232" w:firstLine="420"/>
        <w:jc w:val="both"/>
        <w:rPr>
          <w:rFonts w:ascii="黑体" w:hAnsi="黑体" w:eastAsia="黑体" w:cs="黑体"/>
          <w:b/>
          <w:lang w:eastAsia="zh-CN"/>
        </w:rPr>
      </w:pPr>
      <w:r>
        <w:rPr>
          <w:rFonts w:hint="eastAsia" w:ascii="黑体" w:hAnsi="黑体" w:eastAsia="黑体" w:cs="黑体"/>
          <w:b/>
          <w:lang w:eastAsia="zh-CN"/>
        </w:rPr>
        <w:t>以上应交所得税、增值税、出口退税，以及根据国家关于软件产业的优惠政策，软件企业减免的相应税款数字。根据具体企业财务账户管理的不同，可从国家财政部 2004 年制发的会计制度“应上交应弥补款项表”或该表的明细账目取得数据。</w:t>
      </w:r>
    </w:p>
    <w:p>
      <w:pPr>
        <w:pStyle w:val="10"/>
        <w:spacing w:line="360" w:lineRule="auto"/>
        <w:ind w:right="232" w:firstLine="420"/>
        <w:jc w:val="both"/>
        <w:rPr>
          <w:bCs/>
          <w:lang w:eastAsia="zh-CN"/>
        </w:rPr>
      </w:pPr>
      <w:r>
        <w:rPr>
          <w:rFonts w:hint="eastAsia" w:ascii="黑体" w:hAnsi="黑体" w:eastAsia="黑体" w:cs="黑体"/>
          <w:b/>
          <w:lang w:eastAsia="zh-CN"/>
        </w:rPr>
        <w:t>27．研发经费：</w:t>
      </w:r>
      <w:r>
        <w:rPr>
          <w:rFonts w:hint="eastAsia"/>
          <w:bCs/>
          <w:lang w:eastAsia="zh-CN"/>
        </w:rPr>
        <w:t>指软件企业在报告期内用于软件研究与开发的所有支出。不论何种经费来源，只要实际用于软件研究与开发的经费支出都应计算在内。</w:t>
      </w:r>
    </w:p>
    <w:p>
      <w:pPr>
        <w:pStyle w:val="10"/>
        <w:spacing w:line="360" w:lineRule="auto"/>
        <w:ind w:right="232" w:firstLine="420"/>
        <w:jc w:val="both"/>
        <w:rPr>
          <w:bCs/>
          <w:lang w:eastAsia="zh-CN"/>
        </w:rPr>
      </w:pPr>
      <w:r>
        <w:rPr>
          <w:b/>
          <w:lang w:eastAsia="zh-CN"/>
        </w:rPr>
        <w:t>28.</w:t>
      </w:r>
      <w:r>
        <w:rPr>
          <w:rFonts w:hint="eastAsia"/>
          <w:b/>
          <w:lang w:eastAsia="zh-CN"/>
        </w:rPr>
        <w:t>投资活动现金流出额：</w:t>
      </w:r>
      <w:r>
        <w:rPr>
          <w:rFonts w:hint="eastAsia"/>
          <w:bCs/>
          <w:lang w:eastAsia="zh-CN"/>
        </w:rPr>
        <w:t>根据会计“现金流量表”中对应指标的本年累计数填列。</w:t>
      </w:r>
    </w:p>
    <w:p>
      <w:pPr>
        <w:pStyle w:val="10"/>
        <w:spacing w:line="360" w:lineRule="auto"/>
        <w:ind w:right="232" w:firstLine="420"/>
        <w:jc w:val="both"/>
        <w:rPr>
          <w:bCs/>
          <w:lang w:eastAsia="zh-CN"/>
        </w:rPr>
      </w:pPr>
      <w:r>
        <w:rPr>
          <w:b/>
          <w:lang w:eastAsia="zh-CN"/>
        </w:rPr>
        <w:t>29.</w:t>
      </w:r>
      <w:r>
        <w:rPr>
          <w:rFonts w:hint="eastAsia"/>
          <w:b/>
          <w:lang w:eastAsia="zh-CN"/>
        </w:rPr>
        <w:t>筹资活动现金流入额：</w:t>
      </w:r>
      <w:r>
        <w:rPr>
          <w:rFonts w:hint="eastAsia"/>
          <w:bCs/>
          <w:lang w:eastAsia="zh-CN"/>
        </w:rPr>
        <w:t>根据会计“现金流量表”中对应指标的本年累计数填列。</w:t>
      </w:r>
    </w:p>
    <w:p>
      <w:pPr>
        <w:pStyle w:val="10"/>
        <w:spacing w:line="360" w:lineRule="auto"/>
        <w:ind w:right="232" w:firstLine="420"/>
        <w:jc w:val="both"/>
        <w:rPr>
          <w:bCs/>
          <w:lang w:eastAsia="zh-CN"/>
        </w:rPr>
      </w:pPr>
      <w:r>
        <w:rPr>
          <w:rFonts w:hint="eastAsia" w:ascii="黑体" w:hAnsi="黑体" w:eastAsia="黑体" w:cs="黑体"/>
          <w:b/>
          <w:lang w:eastAsia="zh-CN"/>
        </w:rPr>
        <w:t>30．固定资产投资额：</w:t>
      </w:r>
      <w:r>
        <w:rPr>
          <w:rFonts w:hint="eastAsia"/>
          <w:bCs/>
          <w:lang w:eastAsia="zh-CN"/>
        </w:rPr>
        <w:t>指企业从本年1月1日起至本年最后一天止完成的会计上可计入固定资产的全部投资额。</w:t>
      </w:r>
    </w:p>
    <w:p>
      <w:pPr>
        <w:pStyle w:val="10"/>
        <w:spacing w:line="360" w:lineRule="auto"/>
        <w:ind w:right="232" w:firstLine="421" w:firstLineChars="200"/>
        <w:jc w:val="both"/>
        <w:rPr>
          <w:bCs/>
          <w:lang w:eastAsia="zh-CN"/>
        </w:rPr>
      </w:pPr>
      <w:r>
        <w:rPr>
          <w:rFonts w:hint="eastAsia" w:ascii="黑体" w:hAnsi="黑体" w:eastAsia="黑体" w:cs="黑体"/>
          <w:b/>
          <w:lang w:eastAsia="zh-CN"/>
        </w:rPr>
        <w:t>31．固定资产原价：</w:t>
      </w:r>
      <w:r>
        <w:rPr>
          <w:rFonts w:hint="eastAsia"/>
          <w:bCs/>
          <w:lang w:eastAsia="zh-CN"/>
        </w:rPr>
        <w:t>指固定资产的成本，包括企业在购置、自行建造、安装、改建、扩建、技术改造某项固定资产时所支出的全部支出总额。根据会计“资产负债表”中“固定资   产原价”项目的期末数填列。</w:t>
      </w:r>
    </w:p>
    <w:p>
      <w:pPr>
        <w:pStyle w:val="10"/>
        <w:spacing w:line="360" w:lineRule="auto"/>
        <w:ind w:right="232" w:firstLine="421" w:firstLineChars="200"/>
        <w:jc w:val="both"/>
        <w:rPr>
          <w:rFonts w:ascii="黑体" w:hAnsi="黑体" w:eastAsia="黑体" w:cs="黑体"/>
          <w:b/>
          <w:lang w:eastAsia="zh-CN"/>
        </w:rPr>
      </w:pPr>
      <w:r>
        <w:rPr>
          <w:rFonts w:hint="eastAsia" w:ascii="黑体" w:hAnsi="黑体" w:eastAsia="黑体" w:cs="黑体"/>
          <w:b/>
          <w:lang w:eastAsia="zh-CN"/>
        </w:rPr>
        <w:t>32.累计折旧：</w:t>
      </w:r>
      <w:r>
        <w:rPr>
          <w:rFonts w:hint="eastAsia"/>
          <w:bCs/>
          <w:lang w:eastAsia="zh-CN"/>
        </w:rPr>
        <w:t>指企业在报告期末提取的历年固定资产折旧累计数。</w:t>
      </w:r>
    </w:p>
    <w:p>
      <w:pPr>
        <w:pStyle w:val="10"/>
        <w:spacing w:line="360" w:lineRule="auto"/>
        <w:ind w:right="232" w:firstLine="421" w:firstLineChars="200"/>
        <w:jc w:val="both"/>
        <w:rPr>
          <w:bCs/>
          <w:lang w:eastAsia="zh-CN"/>
        </w:rPr>
      </w:pPr>
      <w:r>
        <w:rPr>
          <w:rFonts w:hint="eastAsia" w:ascii="黑体" w:hAnsi="黑体" w:eastAsia="黑体" w:cs="黑体"/>
          <w:b/>
          <w:lang w:eastAsia="zh-CN"/>
        </w:rPr>
        <w:t>33.本年折旧：</w:t>
      </w:r>
      <w:r>
        <w:rPr>
          <w:rFonts w:hint="eastAsia"/>
          <w:bCs/>
          <w:lang w:eastAsia="zh-CN"/>
        </w:rPr>
        <w:t xml:space="preserve">指企业在报告期内计提的固定资产折旧合计数。 </w:t>
      </w:r>
    </w:p>
    <w:p>
      <w:pPr>
        <w:pStyle w:val="10"/>
        <w:spacing w:line="360" w:lineRule="auto"/>
        <w:ind w:right="232" w:firstLine="421" w:firstLineChars="200"/>
        <w:jc w:val="both"/>
        <w:rPr>
          <w:bCs/>
          <w:lang w:eastAsia="zh-CN"/>
        </w:rPr>
      </w:pPr>
      <w:r>
        <w:rPr>
          <w:rFonts w:hint="eastAsia" w:ascii="黑体" w:hAnsi="黑体" w:eastAsia="黑体" w:cs="黑体"/>
          <w:b/>
          <w:lang w:eastAsia="zh-CN"/>
        </w:rPr>
        <w:t>34.本年应付职工薪酬：</w:t>
      </w:r>
      <w:r>
        <w:rPr>
          <w:rFonts w:hint="eastAsia"/>
          <w:bCs/>
          <w:lang w:eastAsia="zh-CN"/>
        </w:rPr>
        <w:t>指企业本年因职工提供服务而支付或放弃的所有对价。包括职工工资、奖金、津贴和补贴，职工福利费，医疗保险费、养老保险费、失业保险费、工伤保险费和生育保险费等社会保险费，住房公积金，工会经费和职工教育经费，非货币性福利，因解除与职工的劳动关系给予的补偿，其他与获得职工提供的服务相关的支出。</w:t>
      </w:r>
    </w:p>
    <w:p>
      <w:pPr>
        <w:pStyle w:val="10"/>
        <w:spacing w:line="360" w:lineRule="auto"/>
        <w:ind w:firstLine="420" w:firstLineChars="200"/>
        <w:jc w:val="both"/>
        <w:rPr>
          <w:bCs/>
          <w:lang w:eastAsia="zh-CN"/>
        </w:rPr>
      </w:pPr>
    </w:p>
    <w:p>
      <w:pPr>
        <w:pStyle w:val="10"/>
        <w:spacing w:line="360" w:lineRule="auto"/>
        <w:ind w:firstLine="421" w:firstLineChars="200"/>
        <w:rPr>
          <w:rFonts w:ascii="黑体" w:hAnsi="黑体" w:eastAsia="黑体"/>
          <w:b/>
          <w:bCs/>
          <w:lang w:eastAsia="zh-CN"/>
        </w:rPr>
      </w:pPr>
      <w:r>
        <w:rPr>
          <w:rFonts w:hint="eastAsia" w:ascii="黑体" w:hAnsi="黑体" w:eastAsia="黑体"/>
          <w:b/>
          <w:bCs/>
          <w:lang w:eastAsia="zh-CN"/>
        </w:rPr>
        <w:t>反映企业对</w:t>
      </w:r>
      <w:r>
        <w:rPr>
          <w:rFonts w:ascii="黑体" w:hAnsi="黑体" w:eastAsia="黑体"/>
          <w:b/>
          <w:bCs/>
          <w:lang w:eastAsia="zh-CN"/>
        </w:rPr>
        <w:t>GDP贡献情况的指标</w:t>
      </w:r>
    </w:p>
    <w:p>
      <w:pPr>
        <w:pStyle w:val="10"/>
        <w:spacing w:line="360" w:lineRule="auto"/>
        <w:ind w:firstLine="421" w:firstLineChars="200"/>
        <w:jc w:val="both"/>
        <w:rPr>
          <w:bCs/>
          <w:lang w:eastAsia="zh-CN"/>
        </w:rPr>
      </w:pPr>
      <w:r>
        <w:rPr>
          <w:rFonts w:ascii="黑体" w:hAnsi="黑体" w:eastAsia="黑体"/>
          <w:b/>
          <w:bCs/>
          <w:lang w:eastAsia="zh-CN"/>
        </w:rPr>
        <w:t>35．生产税净额：</w:t>
      </w:r>
      <w:r>
        <w:rPr>
          <w:bCs/>
          <w:lang w:eastAsia="zh-CN"/>
        </w:rPr>
        <w:t>指企业在报告期内的经营活动中所征收的各种税金、附加费和规费扣除生产补贴后的净额。这里的各种税金，指应交增值税、营业税金及附加、管理费中列支的税费等，但不包括所得税。生产补贴，指政府对软件生产经营单位的政策亏损补贴、价格补贴和出口企业的出口退税等补贴。鉴于软件企业的特殊情况，原则上软件企业可用以下计算方法：</w:t>
      </w:r>
      <w:r>
        <w:rPr>
          <w:b/>
          <w:bCs/>
          <w:lang w:eastAsia="zh-CN"/>
        </w:rPr>
        <w:t>生产税净额=</w:t>
      </w:r>
      <w:r>
        <w:rPr>
          <w:rFonts w:hint="eastAsia"/>
          <w:b/>
          <w:bCs/>
          <w:lang w:eastAsia="zh-CN"/>
        </w:rPr>
        <w:t>B26</w:t>
      </w:r>
      <w:r>
        <w:rPr>
          <w:b/>
          <w:bCs/>
          <w:lang w:eastAsia="zh-CN"/>
        </w:rPr>
        <w:t>应交增值税+B09营业税金及附加+B131管理费用中的税费-补贴收入</w:t>
      </w:r>
      <w:r>
        <w:rPr>
          <w:bCs/>
          <w:lang w:eastAsia="zh-CN"/>
        </w:rPr>
        <w:t>。</w:t>
      </w:r>
      <w:r>
        <w:rPr>
          <w:b/>
          <w:bCs/>
          <w:lang w:eastAsia="zh-CN"/>
        </w:rPr>
        <w:t>企业“本年应交增值税”为“负数”时，计算生产税净额时按“0”处理</w:t>
      </w:r>
      <w:r>
        <w:rPr>
          <w:bCs/>
          <w:lang w:eastAsia="zh-CN"/>
        </w:rPr>
        <w:t>。</w:t>
      </w:r>
    </w:p>
    <w:p>
      <w:pPr>
        <w:pStyle w:val="10"/>
        <w:spacing w:line="360" w:lineRule="auto"/>
        <w:ind w:firstLine="421" w:firstLineChars="200"/>
        <w:jc w:val="both"/>
        <w:rPr>
          <w:bCs/>
          <w:lang w:eastAsia="zh-CN"/>
        </w:rPr>
      </w:pPr>
      <w:r>
        <w:rPr>
          <w:rFonts w:ascii="黑体" w:hAnsi="黑体" w:eastAsia="黑体"/>
          <w:b/>
          <w:bCs/>
          <w:lang w:eastAsia="zh-CN"/>
        </w:rPr>
        <w:t>36．营业盈余：</w:t>
      </w:r>
      <w:r>
        <w:rPr>
          <w:bCs/>
          <w:lang w:eastAsia="zh-CN"/>
        </w:rPr>
        <w:t>相当于企业的营业利润加上生产补贴，但要从中扣除投资收益和从利润中支付给个人的工资和福利等。</w:t>
      </w:r>
    </w:p>
    <w:p>
      <w:pPr>
        <w:pStyle w:val="10"/>
        <w:spacing w:line="360" w:lineRule="auto"/>
        <w:ind w:firstLine="421" w:firstLineChars="200"/>
        <w:jc w:val="both"/>
        <w:rPr>
          <w:bCs/>
          <w:lang w:eastAsia="zh-CN"/>
        </w:rPr>
      </w:pPr>
      <w:r>
        <w:rPr>
          <w:rFonts w:ascii="黑体" w:hAnsi="黑体" w:eastAsia="黑体"/>
          <w:b/>
          <w:bCs/>
          <w:lang w:eastAsia="zh-CN"/>
        </w:rPr>
        <w:t>37．增加值：</w:t>
      </w:r>
      <w:r>
        <w:rPr>
          <w:bCs/>
          <w:lang w:eastAsia="zh-CN"/>
        </w:rPr>
        <w:t>是软件企业在报告期内，以货币形式表现的生产经营活动和从事劳务活动的最终成果。软件企业的生产经营活动与制造业企业的性质不同，所以通常软件企业增加值的计算方法采用“收入法（分配法）”计算。软件企业增加值等于本年应付工资薪酬、固定资产本年折旧、生产税净额和营业盈余四个部分之和。</w:t>
      </w:r>
    </w:p>
    <w:p>
      <w:pPr>
        <w:pStyle w:val="10"/>
        <w:spacing w:line="360" w:lineRule="auto"/>
        <w:ind w:firstLine="421" w:firstLineChars="200"/>
        <w:jc w:val="both"/>
        <w:rPr>
          <w:rFonts w:ascii="黑体" w:hAnsi="黑体" w:eastAsia="黑体"/>
          <w:b/>
          <w:bCs/>
          <w:lang w:eastAsia="zh-CN"/>
        </w:rPr>
      </w:pPr>
      <w:r>
        <w:rPr>
          <w:rFonts w:hint="eastAsia" w:ascii="黑体" w:hAnsi="黑体" w:eastAsia="黑体"/>
          <w:b/>
          <w:bCs/>
          <w:lang w:eastAsia="zh-CN"/>
        </w:rPr>
        <w:t>计算公式为：“</w:t>
      </w:r>
      <w:r>
        <w:rPr>
          <w:rFonts w:ascii="黑体" w:hAnsi="黑体" w:eastAsia="黑体"/>
          <w:b/>
          <w:bCs/>
          <w:lang w:eastAsia="zh-CN"/>
        </w:rPr>
        <w:t>F3增加值”=A08固定资产本年折旧+F1生产税金额+F2营业盈余+D01本年应付工资薪酬。</w:t>
      </w:r>
    </w:p>
    <w:p>
      <w:pPr>
        <w:pStyle w:val="10"/>
        <w:spacing w:line="360" w:lineRule="auto"/>
        <w:ind w:firstLine="421" w:firstLineChars="200"/>
        <w:jc w:val="both"/>
        <w:rPr>
          <w:rFonts w:ascii="黑体" w:hAnsi="黑体" w:eastAsia="黑体"/>
          <w:b/>
          <w:bCs/>
          <w:lang w:eastAsia="zh-CN"/>
        </w:rPr>
      </w:pPr>
      <w:r>
        <w:rPr>
          <w:rFonts w:hint="eastAsia" w:ascii="黑体" w:hAnsi="黑体" w:eastAsia="黑体"/>
          <w:b/>
          <w:bCs/>
          <w:lang w:eastAsia="zh-CN"/>
        </w:rPr>
        <w:t>注意：“</w:t>
      </w:r>
      <w:r>
        <w:rPr>
          <w:rFonts w:ascii="黑体" w:hAnsi="黑体" w:eastAsia="黑体"/>
          <w:b/>
          <w:bCs/>
          <w:lang w:eastAsia="zh-CN"/>
        </w:rPr>
        <w:t>F3增加值”在“主营业务收入”中占比在20%</w:t>
      </w:r>
      <w:r>
        <w:rPr>
          <w:rFonts w:hint="eastAsia" w:ascii="黑体" w:hAnsi="黑体" w:eastAsia="黑体"/>
          <w:b/>
          <w:bCs/>
          <w:lang w:eastAsia="zh-CN"/>
        </w:rPr>
        <w:t>以上</w:t>
      </w:r>
      <w:r>
        <w:rPr>
          <w:rFonts w:ascii="黑体" w:hAnsi="黑体" w:eastAsia="黑体"/>
          <w:b/>
          <w:bCs/>
          <w:lang w:eastAsia="zh-CN"/>
        </w:rPr>
        <w:t>；“增加值”指标直接反映软件行业对全市GDP贡献，不可漏填。</w:t>
      </w:r>
    </w:p>
    <w:p>
      <w:pPr>
        <w:pStyle w:val="10"/>
        <w:spacing w:line="360" w:lineRule="auto"/>
        <w:ind w:right="232" w:firstLine="420" w:firstLineChars="200"/>
        <w:jc w:val="both"/>
        <w:rPr>
          <w:bCs/>
          <w:lang w:eastAsia="zh-CN"/>
        </w:rPr>
      </w:pPr>
    </w:p>
    <w:p>
      <w:pPr>
        <w:spacing w:line="360" w:lineRule="auto"/>
        <w:ind w:firstLine="399" w:firstLineChars="200"/>
        <w:rPr>
          <w:rFonts w:ascii="黑体" w:hAnsi="黑体" w:eastAsia="黑体" w:cs="黑体"/>
          <w:b/>
          <w:bCs/>
          <w:sz w:val="21"/>
          <w:szCs w:val="21"/>
          <w:lang w:eastAsia="zh-CN"/>
        </w:rPr>
      </w:pPr>
      <w:r>
        <w:rPr>
          <w:rFonts w:hint="eastAsia" w:ascii="黑体" w:hAnsi="黑体" w:eastAsia="黑体" w:cs="黑体"/>
          <w:b/>
          <w:bCs/>
          <w:w w:val="95"/>
          <w:sz w:val="21"/>
          <w:szCs w:val="21"/>
          <w:lang w:eastAsia="zh-CN"/>
        </w:rPr>
        <w:t>反映企业业务情况方面的指标</w:t>
      </w:r>
    </w:p>
    <w:p>
      <w:pPr>
        <w:pStyle w:val="10"/>
        <w:spacing w:before="46" w:line="408" w:lineRule="auto"/>
        <w:ind w:left="104" w:right="196" w:firstLine="422"/>
        <w:jc w:val="both"/>
        <w:rPr>
          <w:lang w:eastAsia="zh-CN"/>
        </w:rPr>
      </w:pPr>
      <w:r>
        <w:rPr>
          <w:rFonts w:hint="eastAsia" w:ascii="黑体" w:eastAsia="黑体"/>
          <w:b/>
          <w:spacing w:val="3"/>
          <w:w w:val="95"/>
          <w:lang w:eastAsia="zh-CN"/>
        </w:rPr>
        <w:t>1．软件业务收入：</w:t>
      </w:r>
      <w:r>
        <w:rPr>
          <w:lang w:eastAsia="zh-CN"/>
        </w:rPr>
        <w:t>指</w:t>
      </w:r>
      <w:r>
        <w:rPr>
          <w:rFonts w:hint="eastAsia"/>
          <w:lang w:eastAsia="zh-CN"/>
        </w:rPr>
        <w:t>企业在</w:t>
      </w:r>
      <w:r>
        <w:rPr>
          <w:lang w:eastAsia="zh-CN"/>
        </w:rPr>
        <w:t>报告期</w:t>
      </w:r>
      <w:r>
        <w:rPr>
          <w:rFonts w:hint="eastAsia"/>
          <w:lang w:eastAsia="zh-CN"/>
        </w:rPr>
        <w:t>从事软件产品、信息技术服务、信息安全、嵌入式系统软件四项业务收入的合计。</w:t>
      </w:r>
    </w:p>
    <w:p>
      <w:pPr>
        <w:pStyle w:val="10"/>
        <w:spacing w:before="120" w:line="410" w:lineRule="auto"/>
        <w:ind w:left="104" w:right="196" w:firstLine="420"/>
        <w:jc w:val="both"/>
        <w:rPr>
          <w:lang w:eastAsia="zh-CN"/>
        </w:rPr>
      </w:pPr>
      <w:r>
        <w:rPr>
          <w:rFonts w:hint="eastAsia" w:ascii="黑体" w:eastAsia="黑体"/>
          <w:b/>
          <w:spacing w:val="3"/>
          <w:w w:val="95"/>
          <w:lang w:eastAsia="zh-CN"/>
        </w:rPr>
        <w:t>2．软件产品收入：</w:t>
      </w:r>
      <w:r>
        <w:rPr>
          <w:lang w:eastAsia="zh-CN"/>
        </w:rPr>
        <w:t>一是指企业在报告期从事开发研制销售软件产品所获得的收入，包括外购二次开发的软件产品，但二次开发的增加值必须超过购进价的</w:t>
      </w:r>
      <w:r>
        <w:rPr>
          <w:rFonts w:hint="eastAsia"/>
          <w:lang w:eastAsia="zh-CN"/>
        </w:rPr>
        <w:t>30%</w:t>
      </w:r>
      <w:r>
        <w:rPr>
          <w:lang w:eastAsia="zh-CN"/>
        </w:rPr>
        <w:t>；二是指系统集成中单独开据发票的软件收入；三是指软件企业承担其他硬件厂商委托开发研制的，但不需向硬件产品中镶嵌灌入,其嵌入式软件收入按照合同金额计算。</w:t>
      </w:r>
    </w:p>
    <w:p>
      <w:pPr>
        <w:spacing w:line="360" w:lineRule="auto"/>
        <w:ind w:firstLine="421" w:firstLineChars="200"/>
        <w:rPr>
          <w:rFonts w:ascii="黑体"/>
          <w:b/>
          <w:sz w:val="15"/>
          <w:lang w:eastAsia="zh-CN"/>
        </w:rPr>
      </w:pPr>
      <w:r>
        <w:rPr>
          <w:rFonts w:hint="eastAsia" w:ascii="黑体" w:hAnsi="黑体" w:eastAsia="黑体" w:cs="黑体"/>
          <w:b/>
          <w:bCs/>
          <w:sz w:val="21"/>
          <w:szCs w:val="21"/>
          <w:lang w:eastAsia="zh-CN"/>
        </w:rPr>
        <w:t>本项指标数据（A1）应同“软件业务收入分类表”</w:t>
      </w:r>
      <w:r>
        <w:rPr>
          <w:rFonts w:hint="eastAsia" w:ascii="黑体" w:hAnsi="黑体" w:eastAsia="黑体" w:cs="黑体"/>
          <w:b/>
          <w:bCs/>
          <w:sz w:val="21"/>
          <w:szCs w:val="21"/>
          <w:lang w:eastAsia="zh-CN"/>
        </w:rPr>
        <w:tab/>
      </w:r>
      <w:r>
        <w:rPr>
          <w:rFonts w:hint="eastAsia" w:ascii="黑体" w:hAnsi="黑体" w:eastAsia="黑体" w:cs="黑体"/>
          <w:b/>
          <w:bCs/>
          <w:w w:val="95"/>
          <w:sz w:val="21"/>
          <w:szCs w:val="21"/>
          <w:lang w:eastAsia="zh-CN"/>
        </w:rPr>
        <w:t>中</w:t>
      </w:r>
      <w:r>
        <w:rPr>
          <w:rFonts w:hint="eastAsia" w:ascii="黑体" w:hAnsi="黑体" w:eastAsia="黑体" w:cs="黑体"/>
          <w:b/>
          <w:bCs/>
          <w:spacing w:val="-5"/>
          <w:w w:val="95"/>
          <w:sz w:val="21"/>
          <w:szCs w:val="21"/>
          <w:lang w:eastAsia="zh-CN"/>
        </w:rPr>
        <w:t>的</w:t>
      </w:r>
      <w:r>
        <w:rPr>
          <w:rFonts w:hint="eastAsia" w:ascii="黑体" w:hAnsi="黑体" w:eastAsia="黑体" w:cs="黑体"/>
          <w:b/>
          <w:bCs/>
          <w:w w:val="95"/>
          <w:sz w:val="21"/>
          <w:szCs w:val="21"/>
          <w:lang w:eastAsia="zh-CN"/>
        </w:rPr>
        <w:t>“E101000000”项数据一致。</w:t>
      </w:r>
    </w:p>
    <w:p>
      <w:pPr>
        <w:pStyle w:val="10"/>
        <w:spacing w:line="360" w:lineRule="auto"/>
        <w:ind w:right="198" w:firstLine="411" w:firstLineChars="200"/>
        <w:jc w:val="both"/>
        <w:rPr>
          <w:lang w:eastAsia="zh-CN"/>
        </w:rPr>
      </w:pPr>
      <w:r>
        <w:rPr>
          <w:rFonts w:hint="eastAsia" w:ascii="黑体" w:eastAsia="黑体"/>
          <w:b/>
          <w:spacing w:val="3"/>
          <w:w w:val="95"/>
          <w:lang w:eastAsia="zh-CN"/>
        </w:rPr>
        <w:t>3．信息技术服务收入：</w:t>
      </w:r>
      <w:r>
        <w:rPr>
          <w:rFonts w:hint="eastAsia"/>
          <w:lang w:eastAsia="zh-CN"/>
        </w:rPr>
        <w:t>指企业在报告期根据用户需求，提供信息技术咨询设计服务、信  息系统集成实施服务、运行维护服务、数据服务、云服务、平台运营服务、电子商务平台技术服务和集成电路设计服务所获的收入。</w:t>
      </w:r>
    </w:p>
    <w:p>
      <w:pPr>
        <w:tabs>
          <w:tab w:val="left" w:pos="5676"/>
        </w:tabs>
        <w:spacing w:line="420" w:lineRule="auto"/>
        <w:ind w:firstLine="421" w:firstLineChars="200"/>
        <w:rPr>
          <w:rFonts w:ascii="黑体" w:hAnsi="黑体" w:eastAsia="黑体" w:cs="黑体"/>
          <w:b/>
          <w:bCs/>
          <w:sz w:val="21"/>
          <w:szCs w:val="21"/>
          <w:lang w:eastAsia="zh-CN"/>
        </w:rPr>
      </w:pPr>
      <w:r>
        <w:rPr>
          <w:rFonts w:hint="eastAsia" w:ascii="黑体" w:hAnsi="黑体" w:eastAsia="黑体" w:cs="黑体"/>
          <w:b/>
          <w:bCs/>
          <w:sz w:val="21"/>
          <w:szCs w:val="21"/>
          <w:lang w:eastAsia="zh-CN"/>
        </w:rPr>
        <w:t>本项指标数据（A2）应同“软件业务收入分类表”</w:t>
      </w:r>
      <w:r>
        <w:rPr>
          <w:rFonts w:hint="eastAsia" w:ascii="黑体" w:hAnsi="黑体" w:eastAsia="黑体" w:cs="黑体"/>
          <w:b/>
          <w:bCs/>
          <w:sz w:val="21"/>
          <w:szCs w:val="21"/>
          <w:lang w:eastAsia="zh-CN"/>
        </w:rPr>
        <w:tab/>
      </w:r>
      <w:r>
        <w:rPr>
          <w:rFonts w:hint="eastAsia" w:ascii="黑体" w:hAnsi="黑体" w:eastAsia="黑体" w:cs="黑体"/>
          <w:b/>
          <w:bCs/>
          <w:sz w:val="21"/>
          <w:szCs w:val="21"/>
          <w:lang w:eastAsia="zh-CN"/>
        </w:rPr>
        <w:t>中的“E201000000”项数据一致。</w:t>
      </w:r>
    </w:p>
    <w:p>
      <w:pPr>
        <w:tabs>
          <w:tab w:val="left" w:pos="5676"/>
        </w:tabs>
        <w:spacing w:line="420" w:lineRule="auto"/>
        <w:ind w:firstLine="399" w:firstLineChars="200"/>
        <w:rPr>
          <w:lang w:eastAsia="zh-CN"/>
        </w:rPr>
      </w:pPr>
      <w:r>
        <w:rPr>
          <w:rFonts w:hint="eastAsia" w:ascii="黑体" w:hAnsi="黑体" w:eastAsia="黑体"/>
          <w:b/>
          <w:w w:val="95"/>
          <w:sz w:val="21"/>
          <w:lang w:eastAsia="zh-CN"/>
        </w:rPr>
        <w:t>其中集成电路设计收入：</w:t>
      </w:r>
      <w:r>
        <w:rPr>
          <w:sz w:val="21"/>
          <w:lang w:eastAsia="zh-CN"/>
        </w:rPr>
        <w:t>指企业在报告期从事集成电路研发设计的收入。</w:t>
      </w:r>
      <w:r>
        <w:rPr>
          <w:lang w:eastAsia="zh-CN"/>
        </w:rPr>
        <w:t>包括：</w:t>
      </w:r>
    </w:p>
    <w:p>
      <w:pPr>
        <w:tabs>
          <w:tab w:val="left" w:pos="5676"/>
        </w:tabs>
        <w:spacing w:line="420" w:lineRule="auto"/>
        <w:ind w:firstLine="420" w:firstLineChars="200"/>
        <w:rPr>
          <w:sz w:val="21"/>
          <w:szCs w:val="21"/>
          <w:lang w:eastAsia="zh-CN"/>
        </w:rPr>
      </w:pPr>
      <w:r>
        <w:rPr>
          <w:sz w:val="21"/>
          <w:szCs w:val="21"/>
          <w:lang w:eastAsia="zh-CN"/>
        </w:rPr>
        <w:t>（1）主要从事集成电路设计的企业，将IC设计企业的主营业务收入计作IC设计收入。</w:t>
      </w:r>
    </w:p>
    <w:p>
      <w:pPr>
        <w:pStyle w:val="10"/>
        <w:spacing w:line="360" w:lineRule="auto"/>
        <w:ind w:firstLine="420" w:firstLineChars="200"/>
        <w:rPr>
          <w:lang w:eastAsia="zh-CN"/>
        </w:rPr>
      </w:pPr>
      <w:r>
        <w:rPr>
          <w:lang w:eastAsia="zh-CN"/>
        </w:rPr>
        <w:t>（2）集成电路设计、测试收入占主营业务60%以上的企业，其IC设计收入根据以下公式进行计算。</w:t>
      </w:r>
    </w:p>
    <w:p>
      <w:pPr>
        <w:spacing w:line="360" w:lineRule="auto"/>
        <w:ind w:firstLine="420" w:firstLineChars="200"/>
        <w:rPr>
          <w:b/>
          <w:bCs/>
          <w:sz w:val="21"/>
          <w:szCs w:val="21"/>
          <w:lang w:eastAsia="zh-CN"/>
        </w:rPr>
      </w:pPr>
      <w:r>
        <w:rPr>
          <w:rFonts w:hint="eastAsia"/>
          <w:sz w:val="21"/>
          <w:szCs w:val="21"/>
          <w:lang w:eastAsia="zh-CN"/>
        </w:rPr>
        <w:t>计算公式为：</w:t>
      </w:r>
      <w:r>
        <w:rPr>
          <w:rFonts w:hint="eastAsia"/>
          <w:b/>
          <w:bCs/>
          <w:sz w:val="21"/>
          <w:szCs w:val="21"/>
          <w:lang w:eastAsia="zh-CN"/>
        </w:rPr>
        <w:t>IC设计收入=芯片销售收入-制造（加工）成本-期间费用</w:t>
      </w:r>
    </w:p>
    <w:p>
      <w:pPr>
        <w:pStyle w:val="10"/>
        <w:spacing w:line="360" w:lineRule="auto"/>
        <w:ind w:firstLine="421" w:firstLineChars="200"/>
        <w:jc w:val="both"/>
        <w:rPr>
          <w:lang w:eastAsia="zh-CN"/>
        </w:rPr>
      </w:pPr>
      <w:r>
        <w:rPr>
          <w:rFonts w:hint="eastAsia" w:ascii="黑体" w:eastAsia="黑体"/>
          <w:b/>
          <w:lang w:eastAsia="zh-CN"/>
        </w:rPr>
        <w:t>4．信息安全收入：</w:t>
      </w:r>
      <w:r>
        <w:rPr>
          <w:lang w:eastAsia="zh-CN"/>
        </w:rPr>
        <w:t>指企业在报告期</w:t>
      </w:r>
      <w:r>
        <w:rPr>
          <w:rFonts w:hint="eastAsia"/>
          <w:lang w:eastAsia="zh-CN"/>
        </w:rPr>
        <w:t>从事信息安全产品、云计算安全产品、工控安全产品、移动安全、云端安全、安全咨询、安全集成实施、安全运维、安全培训等软件研发或服务所获得的收入</w:t>
      </w:r>
      <w:r>
        <w:rPr>
          <w:lang w:eastAsia="zh-CN"/>
        </w:rPr>
        <w:t>。</w:t>
      </w:r>
    </w:p>
    <w:p>
      <w:pPr>
        <w:tabs>
          <w:tab w:val="left" w:pos="5676"/>
        </w:tabs>
        <w:spacing w:line="420" w:lineRule="auto"/>
        <w:ind w:firstLine="421" w:firstLineChars="200"/>
        <w:rPr>
          <w:rFonts w:ascii="黑体" w:hAnsi="黑体" w:eastAsia="黑体" w:cs="黑体"/>
          <w:b/>
          <w:bCs/>
          <w:sz w:val="21"/>
          <w:szCs w:val="21"/>
          <w:lang w:eastAsia="zh-CN"/>
        </w:rPr>
      </w:pPr>
      <w:r>
        <w:rPr>
          <w:rFonts w:hint="eastAsia" w:ascii="黑体" w:hAnsi="黑体" w:eastAsia="黑体" w:cs="黑体"/>
          <w:b/>
          <w:bCs/>
          <w:sz w:val="21"/>
          <w:szCs w:val="21"/>
          <w:lang w:eastAsia="zh-CN"/>
        </w:rPr>
        <w:t>本项指标数据（A3）应同“软件业务收入分类表”</w:t>
      </w:r>
      <w:r>
        <w:rPr>
          <w:rFonts w:hint="eastAsia" w:ascii="黑体" w:hAnsi="黑体" w:eastAsia="黑体" w:cs="黑体"/>
          <w:b/>
          <w:bCs/>
          <w:sz w:val="21"/>
          <w:szCs w:val="21"/>
          <w:lang w:eastAsia="zh-CN"/>
        </w:rPr>
        <w:tab/>
      </w:r>
      <w:r>
        <w:rPr>
          <w:rFonts w:hint="eastAsia" w:ascii="黑体" w:hAnsi="黑体" w:eastAsia="黑体" w:cs="黑体"/>
          <w:b/>
          <w:bCs/>
          <w:sz w:val="21"/>
          <w:szCs w:val="21"/>
          <w:lang w:eastAsia="zh-CN"/>
        </w:rPr>
        <w:t>中的“E301000000”项数据一致。</w:t>
      </w:r>
    </w:p>
    <w:p>
      <w:pPr>
        <w:tabs>
          <w:tab w:val="left" w:pos="5676"/>
        </w:tabs>
        <w:spacing w:line="420" w:lineRule="auto"/>
        <w:ind w:firstLine="399" w:firstLineChars="200"/>
        <w:jc w:val="both"/>
        <w:rPr>
          <w:sz w:val="21"/>
          <w:szCs w:val="21"/>
          <w:lang w:eastAsia="zh-CN"/>
        </w:rPr>
      </w:pPr>
      <w:r>
        <w:rPr>
          <w:rFonts w:hint="eastAsia" w:ascii="黑体" w:eastAsia="黑体"/>
          <w:b/>
          <w:w w:val="95"/>
          <w:sz w:val="21"/>
          <w:szCs w:val="21"/>
          <w:lang w:eastAsia="zh-CN"/>
        </w:rPr>
        <w:t>5</w:t>
      </w:r>
      <w:r>
        <w:rPr>
          <w:rFonts w:hint="eastAsia" w:ascii="黑体" w:eastAsia="黑体"/>
          <w:b/>
          <w:sz w:val="21"/>
          <w:szCs w:val="21"/>
          <w:lang w:eastAsia="zh-CN"/>
        </w:rPr>
        <w:t>．嵌入式系统软件收入：</w:t>
      </w:r>
      <w:r>
        <w:rPr>
          <w:sz w:val="21"/>
          <w:szCs w:val="21"/>
          <w:lang w:eastAsia="zh-CN"/>
        </w:rPr>
        <w:t>指企业在</w:t>
      </w:r>
      <w:r>
        <w:rPr>
          <w:rFonts w:hint="eastAsia"/>
          <w:sz w:val="21"/>
          <w:szCs w:val="21"/>
          <w:lang w:eastAsia="zh-CN"/>
        </w:rPr>
        <w:t>报告期完成的自主研制并镶嵌固化到本企业生产的硬件产品中的嵌入式系统软件（含二次开发后增加值超过购进价50%的嵌入式系统软件）。</w:t>
      </w:r>
    </w:p>
    <w:p>
      <w:pPr>
        <w:pStyle w:val="10"/>
        <w:spacing w:line="360" w:lineRule="auto"/>
        <w:ind w:firstLine="399" w:firstLineChars="200"/>
        <w:jc w:val="both"/>
        <w:rPr>
          <w:lang w:eastAsia="zh-CN"/>
        </w:rPr>
      </w:pPr>
      <w:r>
        <w:rPr>
          <w:rFonts w:hint="eastAsia" w:ascii="黑体" w:eastAsia="黑体"/>
          <w:b/>
          <w:w w:val="95"/>
          <w:lang w:eastAsia="zh-CN"/>
        </w:rPr>
        <w:t>6．软件外包服务收入：</w:t>
      </w:r>
      <w:r>
        <w:rPr>
          <w:lang w:eastAsia="zh-CN"/>
        </w:rPr>
        <w:t>指企业在报告期承担发包方（国内或国外）的分包业务，如委托   开发软件、软件测试、业务流程设计、安装、维护、数据加工等。用外汇结算的外包收入，应换算成人民币价值计算。</w:t>
      </w:r>
    </w:p>
    <w:p>
      <w:pPr>
        <w:pStyle w:val="10"/>
        <w:spacing w:line="360" w:lineRule="auto"/>
        <w:ind w:firstLine="421" w:firstLineChars="200"/>
        <w:jc w:val="both"/>
        <w:rPr>
          <w:sz w:val="24"/>
          <w:lang w:eastAsia="zh-CN"/>
        </w:rPr>
      </w:pPr>
      <w:r>
        <w:rPr>
          <w:b/>
          <w:lang w:eastAsia="zh-CN"/>
        </w:rPr>
        <w:t>外包</w:t>
      </w:r>
      <w:r>
        <w:rPr>
          <w:lang w:eastAsia="zh-CN"/>
        </w:rPr>
        <w:t>根据供应商的地理分布状况划分为两种类型：</w:t>
      </w:r>
      <w:r>
        <w:rPr>
          <w:b/>
          <w:lang w:eastAsia="zh-CN"/>
        </w:rPr>
        <w:t>境内外包和离岸外包</w:t>
      </w:r>
      <w:r>
        <w:rPr>
          <w:lang w:eastAsia="zh-CN"/>
        </w:rPr>
        <w:t>。境内外包是指外包商与其外包供应商来自同一个国家。离岸外包则指外包商与其供应商来自不同国家，外包工作跨国完成。</w:t>
      </w:r>
    </w:p>
    <w:p>
      <w:pPr>
        <w:pStyle w:val="10"/>
        <w:spacing w:line="360" w:lineRule="auto"/>
        <w:ind w:firstLine="399" w:firstLineChars="200"/>
        <w:jc w:val="both"/>
        <w:rPr>
          <w:bCs/>
          <w:lang w:eastAsia="zh-CN"/>
        </w:rPr>
      </w:pPr>
      <w:r>
        <w:rPr>
          <w:rFonts w:hint="eastAsia" w:ascii="黑体" w:eastAsia="黑体"/>
          <w:b/>
          <w:w w:val="95"/>
          <w:lang w:eastAsia="zh-CN"/>
        </w:rPr>
        <w:t>7．软件业务出口合计：</w:t>
      </w:r>
      <w:r>
        <w:rPr>
          <w:rFonts w:hint="eastAsia"/>
          <w:bCs/>
          <w:lang w:eastAsia="zh-CN"/>
        </w:rPr>
        <w:t>指企业在报告期完成的软件产品、信息技术服务、信息安全、嵌入式系统软件四项业务出口额的合计数。（“万美元”计算）。</w:t>
      </w:r>
    </w:p>
    <w:p>
      <w:pPr>
        <w:pStyle w:val="10"/>
        <w:spacing w:line="360" w:lineRule="auto"/>
        <w:ind w:firstLine="399" w:firstLineChars="200"/>
        <w:jc w:val="both"/>
        <w:rPr>
          <w:bCs/>
          <w:lang w:eastAsia="zh-CN"/>
        </w:rPr>
      </w:pPr>
      <w:r>
        <w:rPr>
          <w:rFonts w:hint="eastAsia" w:ascii="黑体" w:eastAsia="黑体"/>
          <w:b/>
          <w:w w:val="95"/>
          <w:lang w:eastAsia="zh-CN"/>
        </w:rPr>
        <w:t>8．软件外包服务出口：</w:t>
      </w:r>
      <w:r>
        <w:rPr>
          <w:rFonts w:hint="eastAsia"/>
          <w:bCs/>
          <w:lang w:eastAsia="zh-CN"/>
        </w:rPr>
        <w:t>指在软件外包服务收入中出口到国际市场（即离岸外包）或在我国境内但由于外包商与其外包供应商来自不同的国家的企业间以外汇结算的收入（以“万美元”计算）。</w:t>
      </w:r>
    </w:p>
    <w:p>
      <w:pPr>
        <w:pStyle w:val="10"/>
        <w:spacing w:line="360" w:lineRule="auto"/>
        <w:ind w:firstLine="399" w:firstLineChars="200"/>
        <w:jc w:val="both"/>
        <w:rPr>
          <w:bCs/>
          <w:lang w:eastAsia="zh-CN"/>
        </w:rPr>
      </w:pPr>
      <w:r>
        <w:rPr>
          <w:rFonts w:hint="eastAsia" w:ascii="黑体" w:eastAsia="黑体"/>
          <w:b/>
          <w:w w:val="95"/>
          <w:lang w:eastAsia="zh-CN"/>
        </w:rPr>
        <w:t>9.嵌入式系统软件出口：</w:t>
      </w:r>
      <w:r>
        <w:rPr>
          <w:rFonts w:hint="eastAsia"/>
          <w:bCs/>
          <w:lang w:eastAsia="zh-CN"/>
        </w:rPr>
        <w:t>指报告期出口到国外的嵌入式系统软件，含嵌入在硬件中，随硬件产品一起出口和承担国外硬件厂商需求而研发的独立嵌入式系统软件产品（以“万美元”计算）。</w:t>
      </w:r>
    </w:p>
    <w:p>
      <w:pPr>
        <w:pStyle w:val="10"/>
        <w:spacing w:line="360" w:lineRule="auto"/>
        <w:ind w:firstLine="399" w:firstLineChars="200"/>
        <w:jc w:val="both"/>
        <w:rPr>
          <w:bCs/>
          <w:lang w:eastAsia="zh-CN"/>
        </w:rPr>
      </w:pPr>
      <w:r>
        <w:rPr>
          <w:rFonts w:ascii="黑体" w:eastAsia="黑体"/>
          <w:b/>
          <w:w w:val="95"/>
          <w:lang w:eastAsia="zh-CN"/>
        </w:rPr>
        <w:t>1</w:t>
      </w:r>
      <w:r>
        <w:rPr>
          <w:rFonts w:hint="eastAsia" w:ascii="黑体" w:eastAsia="黑体"/>
          <w:b/>
          <w:w w:val="95"/>
          <w:lang w:eastAsia="zh-CN"/>
        </w:rPr>
        <w:t>0</w:t>
      </w:r>
      <w:r>
        <w:rPr>
          <w:rFonts w:ascii="黑体" w:eastAsia="黑体"/>
          <w:b/>
          <w:w w:val="95"/>
          <w:lang w:eastAsia="zh-CN"/>
        </w:rPr>
        <w:t>.</w:t>
      </w:r>
      <w:r>
        <w:rPr>
          <w:rFonts w:hint="eastAsia" w:ascii="黑体" w:eastAsia="黑体"/>
          <w:b/>
          <w:w w:val="95"/>
          <w:lang w:eastAsia="zh-CN"/>
        </w:rPr>
        <w:t>国外软件产品代理业务收入：</w:t>
      </w:r>
      <w:r>
        <w:rPr>
          <w:rFonts w:hint="eastAsia"/>
          <w:bCs/>
          <w:lang w:eastAsia="zh-CN"/>
        </w:rPr>
        <w:t>指企业在报告期代理销售国外软件产品获得的收入。</w:t>
      </w:r>
    </w:p>
    <w:p>
      <w:pPr>
        <w:pStyle w:val="10"/>
        <w:spacing w:line="360" w:lineRule="auto"/>
        <w:ind w:firstLine="399" w:firstLineChars="200"/>
        <w:jc w:val="both"/>
        <w:rPr>
          <w:bCs/>
          <w:lang w:eastAsia="zh-CN"/>
        </w:rPr>
      </w:pPr>
      <w:r>
        <w:rPr>
          <w:rFonts w:ascii="黑体" w:eastAsia="黑体"/>
          <w:b/>
          <w:w w:val="95"/>
          <w:lang w:eastAsia="zh-CN"/>
        </w:rPr>
        <w:t>1</w:t>
      </w:r>
      <w:r>
        <w:rPr>
          <w:rFonts w:hint="eastAsia" w:ascii="黑体" w:eastAsia="黑体"/>
          <w:b/>
          <w:w w:val="95"/>
          <w:lang w:eastAsia="zh-CN"/>
        </w:rPr>
        <w:t>1</w:t>
      </w:r>
      <w:r>
        <w:rPr>
          <w:rFonts w:ascii="黑体" w:eastAsia="黑体"/>
          <w:b/>
          <w:w w:val="95"/>
          <w:lang w:eastAsia="zh-CN"/>
        </w:rPr>
        <w:t>.</w:t>
      </w:r>
      <w:r>
        <w:rPr>
          <w:rFonts w:hint="eastAsia" w:ascii="黑体" w:eastAsia="黑体"/>
          <w:b/>
          <w:w w:val="95"/>
          <w:lang w:eastAsia="zh-CN"/>
        </w:rPr>
        <w:t>国内软件产品代理业务收入：</w:t>
      </w:r>
      <w:r>
        <w:rPr>
          <w:rFonts w:hint="eastAsia"/>
          <w:bCs/>
          <w:lang w:eastAsia="zh-CN"/>
        </w:rPr>
        <w:t>指企业在报告期代理销售国内软件产品获得的收入。</w:t>
      </w:r>
    </w:p>
    <w:p>
      <w:pPr>
        <w:spacing w:line="400" w:lineRule="exact"/>
        <w:ind w:firstLine="419" w:firstLineChars="200"/>
        <w:rPr>
          <w:bCs/>
          <w:sz w:val="21"/>
          <w:szCs w:val="21"/>
          <w:lang w:eastAsia="zh-CN"/>
        </w:rPr>
      </w:pPr>
      <w:r>
        <w:rPr>
          <w:rFonts w:hint="eastAsia" w:ascii="黑体" w:eastAsia="黑体"/>
          <w:b/>
          <w:w w:val="95"/>
          <w:lang w:eastAsia="zh-CN"/>
        </w:rPr>
        <w:t>12．从业人员期末人数：</w:t>
      </w:r>
      <w:r>
        <w:rPr>
          <w:rFonts w:hint="eastAsia"/>
          <w:bCs/>
          <w:sz w:val="21"/>
          <w:szCs w:val="21"/>
          <w:lang w:eastAsia="zh-CN"/>
        </w:rPr>
        <w:t>指报告期末最后一日在本单位工作，并取得工资或其他形式劳动报酬的人员数。该指标为时点指标，不包括最后一日当天及以前已经与单位解除劳动合同关系的人员，是在岗职工、劳务派遣人员及其他从业人员之和。从业人员不包括：</w:t>
      </w:r>
    </w:p>
    <w:p>
      <w:pPr>
        <w:spacing w:line="400" w:lineRule="exact"/>
        <w:ind w:firstLine="420" w:firstLineChars="200"/>
        <w:rPr>
          <w:bCs/>
          <w:sz w:val="21"/>
          <w:szCs w:val="21"/>
          <w:lang w:eastAsia="zh-CN"/>
        </w:rPr>
      </w:pPr>
      <w:r>
        <w:rPr>
          <w:rFonts w:hint="eastAsia"/>
          <w:bCs/>
          <w:sz w:val="21"/>
          <w:szCs w:val="21"/>
          <w:lang w:eastAsia="zh-CN"/>
        </w:rPr>
        <w:t>（1）离开本单位仍保留劳动关系，并定期领取生活费的人员；</w:t>
      </w:r>
    </w:p>
    <w:p>
      <w:pPr>
        <w:spacing w:line="400" w:lineRule="exact"/>
        <w:ind w:firstLine="420" w:firstLineChars="200"/>
        <w:rPr>
          <w:bCs/>
          <w:sz w:val="21"/>
          <w:szCs w:val="21"/>
          <w:lang w:eastAsia="zh-CN"/>
        </w:rPr>
      </w:pPr>
      <w:r>
        <w:rPr>
          <w:rFonts w:hint="eastAsia"/>
          <w:bCs/>
          <w:sz w:val="21"/>
          <w:szCs w:val="21"/>
          <w:lang w:eastAsia="zh-CN"/>
        </w:rPr>
        <w:t xml:space="preserve">（2）在本单位实习的各类在校学生； </w:t>
      </w:r>
    </w:p>
    <w:p>
      <w:pPr>
        <w:pStyle w:val="10"/>
        <w:spacing w:line="400" w:lineRule="exact"/>
        <w:ind w:firstLine="420" w:firstLineChars="200"/>
        <w:jc w:val="both"/>
        <w:rPr>
          <w:bCs/>
          <w:lang w:eastAsia="zh-CN"/>
        </w:rPr>
      </w:pPr>
      <w:r>
        <w:rPr>
          <w:rFonts w:hint="eastAsia"/>
          <w:bCs/>
          <w:lang w:eastAsia="zh-CN"/>
        </w:rPr>
        <w:t>（3）本单位因劳务外包而使用的人员。</w:t>
      </w:r>
    </w:p>
    <w:p>
      <w:pPr>
        <w:pStyle w:val="10"/>
        <w:spacing w:line="360" w:lineRule="auto"/>
        <w:ind w:firstLine="399" w:firstLineChars="200"/>
        <w:jc w:val="both"/>
        <w:rPr>
          <w:bCs/>
          <w:lang w:eastAsia="zh-CN"/>
        </w:rPr>
      </w:pPr>
      <w:r>
        <w:rPr>
          <w:rFonts w:hint="eastAsia" w:ascii="黑体" w:eastAsia="黑体"/>
          <w:b/>
          <w:w w:val="95"/>
          <w:lang w:eastAsia="zh-CN"/>
        </w:rPr>
        <w:t>13．软件研发人员：</w:t>
      </w:r>
      <w:r>
        <w:rPr>
          <w:rFonts w:hint="eastAsia"/>
          <w:bCs/>
          <w:lang w:eastAsia="zh-CN"/>
        </w:rPr>
        <w:t>指在企业中设立的软件开发、研制机构中，从事软件研发工作的工程技术人员。</w:t>
      </w:r>
    </w:p>
    <w:p>
      <w:pPr>
        <w:pStyle w:val="10"/>
        <w:spacing w:line="360" w:lineRule="auto"/>
        <w:ind w:firstLine="399" w:firstLineChars="200"/>
        <w:jc w:val="both"/>
        <w:rPr>
          <w:bCs/>
          <w:lang w:eastAsia="zh-CN"/>
        </w:rPr>
      </w:pPr>
      <w:r>
        <w:rPr>
          <w:rFonts w:hint="eastAsia" w:ascii="黑体" w:eastAsia="黑体"/>
          <w:b/>
          <w:w w:val="95"/>
          <w:lang w:eastAsia="zh-CN"/>
        </w:rPr>
        <w:t>14．其他软件技术人员：</w:t>
      </w:r>
      <w:r>
        <w:rPr>
          <w:rFonts w:hint="eastAsia"/>
          <w:bCs/>
          <w:lang w:eastAsia="zh-CN"/>
        </w:rPr>
        <w:t>指软件企业中除软件研发人员外，其他从事软件开发辅助性工作、软件运维等与软件和信息技术服务相关工作的技术人员。</w:t>
      </w:r>
    </w:p>
    <w:p>
      <w:pPr>
        <w:pStyle w:val="10"/>
        <w:spacing w:line="360" w:lineRule="auto"/>
        <w:ind w:firstLine="399" w:firstLineChars="200"/>
        <w:jc w:val="both"/>
        <w:rPr>
          <w:bCs/>
          <w:lang w:eastAsia="zh-CN"/>
        </w:rPr>
      </w:pPr>
      <w:r>
        <w:rPr>
          <w:rFonts w:hint="eastAsia" w:ascii="黑体" w:eastAsia="黑体"/>
          <w:b/>
          <w:w w:val="95"/>
          <w:lang w:eastAsia="zh-CN"/>
        </w:rPr>
        <w:t>15．硕士及以上：</w:t>
      </w:r>
      <w:r>
        <w:rPr>
          <w:rFonts w:hint="eastAsia"/>
          <w:bCs/>
          <w:lang w:eastAsia="zh-CN"/>
        </w:rPr>
        <w:t>指具有硕士研究生及以上学历的工作人员。</w:t>
      </w:r>
    </w:p>
    <w:p>
      <w:pPr>
        <w:pStyle w:val="10"/>
        <w:spacing w:line="360" w:lineRule="auto"/>
        <w:ind w:firstLine="399" w:firstLineChars="200"/>
        <w:jc w:val="both"/>
        <w:rPr>
          <w:bCs/>
          <w:lang w:eastAsia="zh-CN"/>
        </w:rPr>
      </w:pPr>
      <w:r>
        <w:rPr>
          <w:rFonts w:hint="eastAsia" w:ascii="黑体" w:eastAsia="黑体"/>
          <w:b/>
          <w:w w:val="95"/>
          <w:lang w:eastAsia="zh-CN"/>
        </w:rPr>
        <w:t>16. 大专及大本：</w:t>
      </w:r>
      <w:r>
        <w:rPr>
          <w:rFonts w:hint="eastAsia"/>
          <w:bCs/>
          <w:lang w:eastAsia="zh-CN"/>
        </w:rPr>
        <w:t>指具有大专及大本学历的工作人员。</w:t>
      </w:r>
    </w:p>
    <w:p>
      <w:pPr>
        <w:pStyle w:val="10"/>
        <w:spacing w:line="360" w:lineRule="auto"/>
        <w:ind w:firstLine="399" w:firstLineChars="200"/>
        <w:jc w:val="both"/>
        <w:rPr>
          <w:rFonts w:ascii="黑体" w:eastAsia="黑体"/>
          <w:b/>
          <w:w w:val="95"/>
          <w:lang w:eastAsia="zh-CN"/>
        </w:rPr>
      </w:pPr>
      <w:r>
        <w:rPr>
          <w:rFonts w:hint="eastAsia" w:ascii="黑体" w:eastAsia="黑体"/>
          <w:b/>
          <w:w w:val="95"/>
          <w:lang w:eastAsia="zh-CN"/>
        </w:rPr>
        <w:t>17．从业人员年平均人数：</w:t>
      </w:r>
      <w:r>
        <w:rPr>
          <w:rFonts w:hint="eastAsia"/>
          <w:bCs/>
          <w:lang w:eastAsia="zh-CN"/>
        </w:rPr>
        <w:t>指报告期内每天平均拥有的从业人员人数。平均人数的计算方法如下：</w:t>
      </w:r>
    </w:p>
    <w:p>
      <w:pPr>
        <w:pStyle w:val="10"/>
        <w:spacing w:line="360" w:lineRule="auto"/>
        <w:ind w:firstLine="420" w:firstLineChars="200"/>
        <w:jc w:val="both"/>
        <w:rPr>
          <w:bCs/>
          <w:lang w:eastAsia="zh-CN"/>
        </w:rPr>
      </w:pPr>
      <w:r>
        <w:rPr>
          <w:rFonts w:hint="eastAsia"/>
          <w:bCs/>
          <w:lang w:eastAsia="zh-CN"/>
        </w:rPr>
        <w:t>月平均人数是以报告月内每天实有的全部人数相加之和，被报告月的日历日数除求得。人员增减变动很小的单位，其月平均人数也可以用月初人数与月末人数相加之和被 2 除求得。开工不满全月的新建单位（月中开工或月末开工），在计算报告月的平均人数时，应以开工后各天   实有人数之和被报告月日历日数除求得。</w:t>
      </w:r>
    </w:p>
    <w:p>
      <w:pPr>
        <w:pStyle w:val="10"/>
        <w:spacing w:line="360" w:lineRule="auto"/>
        <w:ind w:firstLine="420" w:firstLineChars="200"/>
        <w:jc w:val="both"/>
        <w:rPr>
          <w:bCs/>
          <w:lang w:eastAsia="zh-CN"/>
        </w:rPr>
      </w:pPr>
      <w:r>
        <w:rPr>
          <w:rFonts w:hint="eastAsia"/>
          <w:bCs/>
          <w:lang w:eastAsia="zh-CN"/>
        </w:rPr>
        <w:t>年平均人数是以十二月的平均人数相加之和被十二除求得，或四个季度平均人数之和被四除求得。</w:t>
      </w:r>
    </w:p>
    <w:p>
      <w:pPr>
        <w:pStyle w:val="10"/>
        <w:spacing w:line="360" w:lineRule="auto"/>
        <w:ind w:firstLine="399" w:firstLineChars="200"/>
        <w:jc w:val="both"/>
        <w:rPr>
          <w:bCs/>
          <w:lang w:eastAsia="zh-CN"/>
        </w:rPr>
      </w:pPr>
      <w:r>
        <w:rPr>
          <w:rFonts w:hint="eastAsia" w:ascii="黑体" w:eastAsia="黑体"/>
          <w:b/>
          <w:w w:val="95"/>
          <w:lang w:eastAsia="zh-CN"/>
        </w:rPr>
        <w:t>18．获授权软件著作权数：</w:t>
      </w:r>
      <w:r>
        <w:rPr>
          <w:rFonts w:hint="eastAsia"/>
          <w:bCs/>
          <w:lang w:eastAsia="zh-CN"/>
        </w:rPr>
        <w:t>指截止到本年末，企业向国家登记管理部门申请并获批的所有软件著作权的数量。</w:t>
      </w:r>
    </w:p>
    <w:p>
      <w:pPr>
        <w:pStyle w:val="10"/>
        <w:spacing w:line="360" w:lineRule="auto"/>
        <w:ind w:firstLine="399" w:firstLineChars="200"/>
        <w:jc w:val="both"/>
        <w:rPr>
          <w:bCs/>
          <w:lang w:eastAsia="zh-CN"/>
        </w:rPr>
      </w:pPr>
      <w:r>
        <w:rPr>
          <w:rFonts w:hint="eastAsia" w:ascii="黑体" w:eastAsia="黑体"/>
          <w:b/>
          <w:w w:val="95"/>
          <w:lang w:eastAsia="zh-CN"/>
        </w:rPr>
        <w:t>19．获授权专利数量：</w:t>
      </w:r>
      <w:r>
        <w:rPr>
          <w:rFonts w:hint="eastAsia"/>
          <w:bCs/>
          <w:lang w:eastAsia="zh-CN"/>
        </w:rPr>
        <w:t>指截止到本年末，企业申请并获授权的所有专利数量，包括国内及国际专利，不含已申请但未获授权、以及已经失效的专利。</w:t>
      </w:r>
    </w:p>
    <w:p>
      <w:pPr>
        <w:pStyle w:val="10"/>
        <w:spacing w:line="360" w:lineRule="auto"/>
        <w:ind w:firstLine="399" w:firstLineChars="200"/>
        <w:jc w:val="both"/>
        <w:rPr>
          <w:rFonts w:ascii="黑体" w:eastAsia="黑体"/>
          <w:b/>
          <w:w w:val="95"/>
          <w:lang w:eastAsia="zh-CN"/>
        </w:rPr>
      </w:pPr>
      <w:r>
        <w:rPr>
          <w:rFonts w:hint="eastAsia" w:ascii="黑体" w:eastAsia="黑体"/>
          <w:b/>
          <w:w w:val="95"/>
          <w:lang w:eastAsia="zh-CN"/>
        </w:rPr>
        <w:t>20.获授权发明专利数量：</w:t>
      </w:r>
      <w:r>
        <w:rPr>
          <w:rFonts w:hint="eastAsia"/>
          <w:bCs/>
          <w:lang w:eastAsia="zh-CN"/>
        </w:rPr>
        <w:t>指截止到本年末，企业申请并获授权的发明专利数量，包括国内及国际专利，不含已申请但未获授权、以及已经失效的专利。</w:t>
      </w:r>
    </w:p>
    <w:p>
      <w:pPr>
        <w:pStyle w:val="10"/>
        <w:spacing w:line="360" w:lineRule="auto"/>
        <w:ind w:firstLine="399" w:firstLineChars="200"/>
        <w:jc w:val="both"/>
        <w:rPr>
          <w:sz w:val="20"/>
          <w:lang w:eastAsia="zh-CN"/>
        </w:rPr>
      </w:pPr>
      <w:r>
        <w:rPr>
          <w:rFonts w:hint="eastAsia" w:ascii="黑体" w:eastAsia="黑体"/>
          <w:b/>
          <w:w w:val="95"/>
          <w:lang w:eastAsia="zh-CN"/>
        </w:rPr>
        <w:t>21．参与制修订国家及国际标准数量：</w:t>
      </w:r>
      <w:r>
        <w:rPr>
          <w:rFonts w:hint="eastAsia"/>
          <w:bCs/>
          <w:lang w:eastAsia="zh-CN"/>
        </w:rPr>
        <w:t>指截止到本年末，企业作为起草单位或企业内部人员作为起草人参与制定或修订的所有国家标准（不包括行业标准、地方标准、团体标准等）及国际标准数量。</w:t>
      </w:r>
      <w:r>
        <w:rPr>
          <w:sz w:val="20"/>
          <w:lang w:eastAsia="zh-CN"/>
        </w:rPr>
        <w:br w:type="page"/>
      </w:r>
    </w:p>
    <w:p>
      <w:pPr>
        <w:pStyle w:val="8"/>
        <w:ind w:left="0" w:firstLine="562" w:firstLineChars="200"/>
        <w:jc w:val="center"/>
        <w:rPr>
          <w:sz w:val="28"/>
          <w:lang w:eastAsia="zh-CN"/>
        </w:rPr>
      </w:pPr>
      <w:r>
        <w:rPr>
          <w:sz w:val="28"/>
          <w:lang w:eastAsia="zh-CN"/>
        </w:rPr>
        <w:t xml:space="preserve">（三）软件业务收入分类（电软统企 </w:t>
      </w:r>
      <w:r>
        <w:rPr>
          <w:rFonts w:hint="eastAsia"/>
          <w:sz w:val="28"/>
          <w:lang w:eastAsia="zh-CN"/>
        </w:rPr>
        <w:t>4</w:t>
      </w:r>
      <w:r>
        <w:rPr>
          <w:sz w:val="28"/>
          <w:lang w:eastAsia="zh-CN"/>
        </w:rPr>
        <w:t xml:space="preserve"> 表）</w:t>
      </w:r>
    </w:p>
    <w:p>
      <w:pPr>
        <w:pStyle w:val="10"/>
        <w:rPr>
          <w:rFonts w:ascii="黑体"/>
          <w:b/>
          <w:sz w:val="20"/>
          <w:lang w:eastAsia="zh-CN"/>
        </w:rPr>
      </w:pPr>
    </w:p>
    <w:p>
      <w:pPr>
        <w:jc w:val="center"/>
        <w:rPr>
          <w:b/>
          <w:sz w:val="32"/>
          <w:lang w:eastAsia="zh-CN"/>
        </w:rPr>
      </w:pPr>
      <w:r>
        <w:rPr>
          <w:b/>
          <w:w w:val="95"/>
          <w:sz w:val="32"/>
          <w:lang w:eastAsia="zh-CN"/>
        </w:rPr>
        <w:t>软件主要出口国家或地区及代码</w:t>
      </w:r>
    </w:p>
    <w:tbl>
      <w:tblPr>
        <w:tblStyle w:val="18"/>
        <w:tblW w:w="7256" w:type="dxa"/>
        <w:tblInd w:w="77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72"/>
        <w:gridCol w:w="2850"/>
        <w:gridCol w:w="894"/>
        <w:gridCol w:w="274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5" w:hRule="exact"/>
        </w:trPr>
        <w:tc>
          <w:tcPr>
            <w:tcW w:w="772" w:type="dxa"/>
            <w:tcBorders>
              <w:left w:val="nil"/>
              <w:bottom w:val="single" w:color="000000" w:sz="4" w:space="0"/>
              <w:right w:val="single" w:color="000000" w:sz="4" w:space="0"/>
            </w:tcBorders>
          </w:tcPr>
          <w:p>
            <w:pPr>
              <w:pStyle w:val="24"/>
              <w:spacing w:before="138"/>
              <w:ind w:left="165" w:right="161"/>
              <w:jc w:val="center"/>
              <w:rPr>
                <w:rFonts w:ascii="黑体" w:eastAsia="黑体"/>
                <w:b/>
                <w:sz w:val="21"/>
              </w:rPr>
            </w:pPr>
            <w:r>
              <w:rPr>
                <w:rFonts w:hint="eastAsia" w:ascii="黑体" w:eastAsia="黑体"/>
                <w:b/>
                <w:w w:val="95"/>
                <w:sz w:val="21"/>
              </w:rPr>
              <w:t>序号</w:t>
            </w:r>
          </w:p>
        </w:tc>
        <w:tc>
          <w:tcPr>
            <w:tcW w:w="2850" w:type="dxa"/>
            <w:tcBorders>
              <w:left w:val="single" w:color="000000" w:sz="4" w:space="0"/>
              <w:bottom w:val="single" w:color="000000" w:sz="4" w:space="0"/>
              <w:right w:val="single" w:color="000000" w:sz="4" w:space="0"/>
            </w:tcBorders>
          </w:tcPr>
          <w:p>
            <w:pPr>
              <w:pStyle w:val="24"/>
              <w:spacing w:before="138"/>
              <w:ind w:left="899" w:right="899"/>
              <w:jc w:val="center"/>
              <w:rPr>
                <w:rFonts w:ascii="黑体" w:eastAsia="黑体"/>
                <w:b/>
                <w:sz w:val="21"/>
              </w:rPr>
            </w:pPr>
            <w:r>
              <w:rPr>
                <w:rFonts w:hint="eastAsia" w:ascii="黑体" w:eastAsia="黑体"/>
                <w:b/>
                <w:w w:val="95"/>
                <w:sz w:val="21"/>
              </w:rPr>
              <w:t>国家或地区</w:t>
            </w:r>
          </w:p>
        </w:tc>
        <w:tc>
          <w:tcPr>
            <w:tcW w:w="894" w:type="dxa"/>
            <w:tcBorders>
              <w:left w:val="single" w:color="000000" w:sz="4" w:space="0"/>
              <w:bottom w:val="single" w:color="000000" w:sz="4" w:space="0"/>
              <w:right w:val="single" w:color="000000" w:sz="4" w:space="0"/>
            </w:tcBorders>
          </w:tcPr>
          <w:p>
            <w:pPr>
              <w:pStyle w:val="24"/>
              <w:spacing w:before="138"/>
              <w:ind w:left="222" w:right="221"/>
              <w:jc w:val="center"/>
              <w:rPr>
                <w:rFonts w:ascii="黑体" w:eastAsia="黑体"/>
                <w:b/>
                <w:sz w:val="21"/>
              </w:rPr>
            </w:pPr>
            <w:r>
              <w:rPr>
                <w:rFonts w:hint="eastAsia" w:ascii="黑体" w:eastAsia="黑体"/>
                <w:b/>
                <w:w w:val="95"/>
                <w:sz w:val="21"/>
              </w:rPr>
              <w:t>序号</w:t>
            </w:r>
          </w:p>
        </w:tc>
        <w:tc>
          <w:tcPr>
            <w:tcW w:w="2740" w:type="dxa"/>
            <w:tcBorders>
              <w:left w:val="single" w:color="000000" w:sz="4" w:space="0"/>
              <w:bottom w:val="single" w:color="000000" w:sz="4" w:space="0"/>
              <w:right w:val="nil"/>
            </w:tcBorders>
          </w:tcPr>
          <w:p>
            <w:pPr>
              <w:pStyle w:val="24"/>
              <w:spacing w:before="138"/>
              <w:ind w:left="647" w:right="650"/>
              <w:jc w:val="center"/>
              <w:rPr>
                <w:rFonts w:ascii="黑体" w:eastAsia="黑体"/>
                <w:b/>
                <w:sz w:val="21"/>
              </w:rPr>
            </w:pPr>
            <w:r>
              <w:rPr>
                <w:rFonts w:hint="eastAsia" w:ascii="黑体" w:eastAsia="黑体"/>
                <w:b/>
                <w:w w:val="95"/>
                <w:sz w:val="21"/>
              </w:rPr>
              <w:t>国家或地区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0" w:hRule="exact"/>
        </w:trPr>
        <w:tc>
          <w:tcPr>
            <w:tcW w:w="772" w:type="dxa"/>
            <w:tcBorders>
              <w:top w:val="single" w:color="000000" w:sz="4" w:space="0"/>
              <w:left w:val="nil"/>
              <w:bottom w:val="single" w:color="000000" w:sz="4" w:space="0"/>
              <w:right w:val="single" w:color="000000" w:sz="4" w:space="0"/>
            </w:tcBorders>
          </w:tcPr>
          <w:p>
            <w:pPr>
              <w:pStyle w:val="24"/>
              <w:spacing w:before="140"/>
              <w:jc w:val="center"/>
              <w:rPr>
                <w:sz w:val="21"/>
              </w:rPr>
            </w:pPr>
            <w:r>
              <w:rPr>
                <w:w w:val="99"/>
                <w:sz w:val="21"/>
              </w:rPr>
              <w:t>1</w:t>
            </w:r>
          </w:p>
        </w:tc>
        <w:tc>
          <w:tcPr>
            <w:tcW w:w="2850" w:type="dxa"/>
            <w:tcBorders>
              <w:top w:val="single" w:color="000000" w:sz="4" w:space="0"/>
              <w:left w:val="single" w:color="000000" w:sz="4" w:space="0"/>
              <w:bottom w:val="single" w:color="000000" w:sz="4" w:space="0"/>
              <w:right w:val="single" w:color="000000" w:sz="4" w:space="0"/>
            </w:tcBorders>
          </w:tcPr>
          <w:p>
            <w:pPr>
              <w:pStyle w:val="24"/>
              <w:spacing w:before="140"/>
              <w:ind w:left="898" w:right="899"/>
              <w:jc w:val="center"/>
              <w:rPr>
                <w:sz w:val="21"/>
              </w:rPr>
            </w:pPr>
            <w:r>
              <w:rPr>
                <w:w w:val="95"/>
                <w:sz w:val="21"/>
              </w:rPr>
              <w:t>中国香港</w:t>
            </w:r>
          </w:p>
        </w:tc>
        <w:tc>
          <w:tcPr>
            <w:tcW w:w="894" w:type="dxa"/>
            <w:tcBorders>
              <w:top w:val="single" w:color="000000" w:sz="4" w:space="0"/>
              <w:left w:val="single" w:color="000000" w:sz="4" w:space="0"/>
              <w:bottom w:val="single" w:color="000000" w:sz="4" w:space="0"/>
              <w:right w:val="single" w:color="000000" w:sz="4" w:space="0"/>
            </w:tcBorders>
          </w:tcPr>
          <w:p>
            <w:pPr>
              <w:pStyle w:val="24"/>
              <w:spacing w:before="140"/>
              <w:ind w:left="220" w:right="221"/>
              <w:jc w:val="center"/>
              <w:rPr>
                <w:sz w:val="21"/>
              </w:rPr>
            </w:pPr>
            <w:r>
              <w:rPr>
                <w:sz w:val="21"/>
              </w:rPr>
              <w:t>11</w:t>
            </w:r>
          </w:p>
        </w:tc>
        <w:tc>
          <w:tcPr>
            <w:tcW w:w="2740" w:type="dxa"/>
            <w:tcBorders>
              <w:top w:val="single" w:color="000000" w:sz="4" w:space="0"/>
              <w:left w:val="single" w:color="000000" w:sz="4" w:space="0"/>
              <w:bottom w:val="single" w:color="000000" w:sz="4" w:space="0"/>
              <w:right w:val="nil"/>
            </w:tcBorders>
          </w:tcPr>
          <w:p>
            <w:pPr>
              <w:pStyle w:val="24"/>
              <w:spacing w:before="140"/>
              <w:ind w:left="647" w:right="650"/>
              <w:jc w:val="center"/>
              <w:rPr>
                <w:sz w:val="21"/>
              </w:rPr>
            </w:pPr>
            <w:r>
              <w:rPr>
                <w:w w:val="95"/>
                <w:sz w:val="21"/>
              </w:rPr>
              <w:t>巴西</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0" w:hRule="exact"/>
        </w:trPr>
        <w:tc>
          <w:tcPr>
            <w:tcW w:w="772" w:type="dxa"/>
            <w:tcBorders>
              <w:top w:val="single" w:color="000000" w:sz="4" w:space="0"/>
              <w:left w:val="nil"/>
              <w:bottom w:val="single" w:color="000000" w:sz="4" w:space="0"/>
              <w:right w:val="single" w:color="000000" w:sz="4" w:space="0"/>
            </w:tcBorders>
          </w:tcPr>
          <w:p>
            <w:pPr>
              <w:pStyle w:val="24"/>
              <w:spacing w:before="139"/>
              <w:jc w:val="center"/>
              <w:rPr>
                <w:sz w:val="21"/>
              </w:rPr>
            </w:pPr>
            <w:r>
              <w:rPr>
                <w:w w:val="99"/>
                <w:sz w:val="21"/>
              </w:rPr>
              <w:t>2</w:t>
            </w:r>
          </w:p>
        </w:tc>
        <w:tc>
          <w:tcPr>
            <w:tcW w:w="2850" w:type="dxa"/>
            <w:tcBorders>
              <w:top w:val="single" w:color="000000" w:sz="4" w:space="0"/>
              <w:left w:val="single" w:color="000000" w:sz="4" w:space="0"/>
              <w:bottom w:val="single" w:color="000000" w:sz="4" w:space="0"/>
              <w:right w:val="single" w:color="000000" w:sz="4" w:space="0"/>
            </w:tcBorders>
          </w:tcPr>
          <w:p>
            <w:pPr>
              <w:pStyle w:val="24"/>
              <w:spacing w:before="139"/>
              <w:ind w:left="898" w:right="899"/>
              <w:jc w:val="center"/>
              <w:rPr>
                <w:sz w:val="21"/>
              </w:rPr>
            </w:pPr>
            <w:r>
              <w:rPr>
                <w:w w:val="95"/>
                <w:sz w:val="21"/>
              </w:rPr>
              <w:t>中国台湾</w:t>
            </w:r>
          </w:p>
        </w:tc>
        <w:tc>
          <w:tcPr>
            <w:tcW w:w="894" w:type="dxa"/>
            <w:tcBorders>
              <w:top w:val="single" w:color="000000" w:sz="4" w:space="0"/>
              <w:left w:val="single" w:color="000000" w:sz="4" w:space="0"/>
              <w:bottom w:val="single" w:color="000000" w:sz="4" w:space="0"/>
              <w:right w:val="single" w:color="000000" w:sz="4" w:space="0"/>
            </w:tcBorders>
          </w:tcPr>
          <w:p>
            <w:pPr>
              <w:pStyle w:val="24"/>
              <w:spacing w:before="139"/>
              <w:ind w:left="220" w:right="221"/>
              <w:jc w:val="center"/>
              <w:rPr>
                <w:sz w:val="21"/>
              </w:rPr>
            </w:pPr>
            <w:r>
              <w:rPr>
                <w:sz w:val="21"/>
              </w:rPr>
              <w:t>12</w:t>
            </w:r>
          </w:p>
        </w:tc>
        <w:tc>
          <w:tcPr>
            <w:tcW w:w="2740" w:type="dxa"/>
            <w:tcBorders>
              <w:top w:val="single" w:color="000000" w:sz="4" w:space="0"/>
              <w:left w:val="single" w:color="000000" w:sz="4" w:space="0"/>
              <w:bottom w:val="single" w:color="000000" w:sz="4" w:space="0"/>
              <w:right w:val="nil"/>
            </w:tcBorders>
          </w:tcPr>
          <w:p>
            <w:pPr>
              <w:pStyle w:val="24"/>
              <w:spacing w:before="139"/>
              <w:ind w:left="647" w:right="650"/>
              <w:jc w:val="center"/>
              <w:rPr>
                <w:sz w:val="21"/>
              </w:rPr>
            </w:pPr>
            <w:r>
              <w:rPr>
                <w:w w:val="95"/>
                <w:sz w:val="21"/>
              </w:rPr>
              <w:t>俄罗斯</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0" w:hRule="exact"/>
        </w:trPr>
        <w:tc>
          <w:tcPr>
            <w:tcW w:w="772" w:type="dxa"/>
            <w:tcBorders>
              <w:top w:val="single" w:color="000000" w:sz="4" w:space="0"/>
              <w:left w:val="nil"/>
              <w:bottom w:val="single" w:color="000000" w:sz="4" w:space="0"/>
              <w:right w:val="single" w:color="000000" w:sz="4" w:space="0"/>
            </w:tcBorders>
          </w:tcPr>
          <w:p>
            <w:pPr>
              <w:pStyle w:val="24"/>
              <w:spacing w:before="139"/>
              <w:jc w:val="center"/>
              <w:rPr>
                <w:sz w:val="21"/>
              </w:rPr>
            </w:pPr>
            <w:r>
              <w:rPr>
                <w:w w:val="99"/>
                <w:sz w:val="21"/>
              </w:rPr>
              <w:t>3</w:t>
            </w:r>
          </w:p>
        </w:tc>
        <w:tc>
          <w:tcPr>
            <w:tcW w:w="2850" w:type="dxa"/>
            <w:tcBorders>
              <w:top w:val="single" w:color="000000" w:sz="4" w:space="0"/>
              <w:left w:val="single" w:color="000000" w:sz="4" w:space="0"/>
              <w:bottom w:val="single" w:color="000000" w:sz="4" w:space="0"/>
              <w:right w:val="single" w:color="000000" w:sz="4" w:space="0"/>
            </w:tcBorders>
          </w:tcPr>
          <w:p>
            <w:pPr>
              <w:pStyle w:val="24"/>
              <w:spacing w:before="139"/>
              <w:ind w:left="899" w:right="899"/>
              <w:jc w:val="center"/>
              <w:rPr>
                <w:sz w:val="21"/>
              </w:rPr>
            </w:pPr>
            <w:r>
              <w:rPr>
                <w:w w:val="95"/>
                <w:sz w:val="21"/>
              </w:rPr>
              <w:t>韩国</w:t>
            </w:r>
          </w:p>
        </w:tc>
        <w:tc>
          <w:tcPr>
            <w:tcW w:w="894" w:type="dxa"/>
            <w:tcBorders>
              <w:top w:val="single" w:color="000000" w:sz="4" w:space="0"/>
              <w:left w:val="single" w:color="000000" w:sz="4" w:space="0"/>
              <w:bottom w:val="single" w:color="000000" w:sz="4" w:space="0"/>
              <w:right w:val="single" w:color="000000" w:sz="4" w:space="0"/>
            </w:tcBorders>
          </w:tcPr>
          <w:p>
            <w:pPr>
              <w:pStyle w:val="24"/>
              <w:spacing w:before="139"/>
              <w:ind w:left="220" w:right="221"/>
              <w:jc w:val="center"/>
              <w:rPr>
                <w:sz w:val="21"/>
              </w:rPr>
            </w:pPr>
            <w:r>
              <w:rPr>
                <w:sz w:val="21"/>
              </w:rPr>
              <w:t>13</w:t>
            </w:r>
          </w:p>
        </w:tc>
        <w:tc>
          <w:tcPr>
            <w:tcW w:w="2740" w:type="dxa"/>
            <w:tcBorders>
              <w:top w:val="single" w:color="000000" w:sz="4" w:space="0"/>
              <w:left w:val="single" w:color="000000" w:sz="4" w:space="0"/>
              <w:bottom w:val="single" w:color="000000" w:sz="4" w:space="0"/>
              <w:right w:val="nil"/>
            </w:tcBorders>
          </w:tcPr>
          <w:p>
            <w:pPr>
              <w:pStyle w:val="24"/>
              <w:spacing w:before="139"/>
              <w:ind w:left="647" w:right="650"/>
              <w:jc w:val="center"/>
              <w:rPr>
                <w:sz w:val="21"/>
              </w:rPr>
            </w:pPr>
            <w:r>
              <w:rPr>
                <w:w w:val="95"/>
                <w:sz w:val="21"/>
              </w:rPr>
              <w:t>南美洲其他国家</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0" w:hRule="exact"/>
        </w:trPr>
        <w:tc>
          <w:tcPr>
            <w:tcW w:w="772" w:type="dxa"/>
            <w:tcBorders>
              <w:top w:val="single" w:color="000000" w:sz="4" w:space="0"/>
              <w:left w:val="nil"/>
              <w:bottom w:val="single" w:color="000000" w:sz="4" w:space="0"/>
              <w:right w:val="single" w:color="000000" w:sz="4" w:space="0"/>
            </w:tcBorders>
          </w:tcPr>
          <w:p>
            <w:pPr>
              <w:pStyle w:val="24"/>
              <w:spacing w:before="138"/>
              <w:jc w:val="center"/>
              <w:rPr>
                <w:sz w:val="21"/>
              </w:rPr>
            </w:pPr>
            <w:r>
              <w:rPr>
                <w:w w:val="99"/>
                <w:sz w:val="21"/>
              </w:rPr>
              <w:t>4</w:t>
            </w:r>
          </w:p>
        </w:tc>
        <w:tc>
          <w:tcPr>
            <w:tcW w:w="2850" w:type="dxa"/>
            <w:tcBorders>
              <w:top w:val="single" w:color="000000" w:sz="4" w:space="0"/>
              <w:left w:val="single" w:color="000000" w:sz="4" w:space="0"/>
              <w:bottom w:val="single" w:color="000000" w:sz="4" w:space="0"/>
              <w:right w:val="single" w:color="000000" w:sz="4" w:space="0"/>
            </w:tcBorders>
          </w:tcPr>
          <w:p>
            <w:pPr>
              <w:pStyle w:val="24"/>
              <w:spacing w:before="138"/>
              <w:ind w:left="899" w:right="899"/>
              <w:jc w:val="center"/>
              <w:rPr>
                <w:sz w:val="21"/>
              </w:rPr>
            </w:pPr>
            <w:r>
              <w:rPr>
                <w:w w:val="95"/>
                <w:sz w:val="21"/>
              </w:rPr>
              <w:t>美国</w:t>
            </w:r>
          </w:p>
        </w:tc>
        <w:tc>
          <w:tcPr>
            <w:tcW w:w="894" w:type="dxa"/>
            <w:tcBorders>
              <w:top w:val="single" w:color="000000" w:sz="4" w:space="0"/>
              <w:left w:val="single" w:color="000000" w:sz="4" w:space="0"/>
              <w:bottom w:val="single" w:color="000000" w:sz="4" w:space="0"/>
              <w:right w:val="single" w:color="000000" w:sz="4" w:space="0"/>
            </w:tcBorders>
          </w:tcPr>
          <w:p>
            <w:pPr>
              <w:pStyle w:val="24"/>
              <w:spacing w:before="138"/>
              <w:ind w:left="220" w:right="221"/>
              <w:jc w:val="center"/>
              <w:rPr>
                <w:sz w:val="21"/>
              </w:rPr>
            </w:pPr>
            <w:r>
              <w:rPr>
                <w:sz w:val="21"/>
              </w:rPr>
              <w:t>14</w:t>
            </w:r>
          </w:p>
        </w:tc>
        <w:tc>
          <w:tcPr>
            <w:tcW w:w="2740" w:type="dxa"/>
            <w:tcBorders>
              <w:top w:val="single" w:color="000000" w:sz="4" w:space="0"/>
              <w:left w:val="single" w:color="000000" w:sz="4" w:space="0"/>
              <w:bottom w:val="single" w:color="000000" w:sz="4" w:space="0"/>
              <w:right w:val="nil"/>
            </w:tcBorders>
          </w:tcPr>
          <w:p>
            <w:pPr>
              <w:pStyle w:val="24"/>
              <w:spacing w:before="138"/>
              <w:ind w:left="647" w:right="650"/>
              <w:jc w:val="center"/>
              <w:rPr>
                <w:sz w:val="21"/>
              </w:rPr>
            </w:pPr>
            <w:r>
              <w:rPr>
                <w:w w:val="95"/>
                <w:sz w:val="21"/>
              </w:rPr>
              <w:t>大洋洲</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0" w:hRule="exact"/>
        </w:trPr>
        <w:tc>
          <w:tcPr>
            <w:tcW w:w="772" w:type="dxa"/>
            <w:tcBorders>
              <w:top w:val="single" w:color="000000" w:sz="4" w:space="0"/>
              <w:left w:val="nil"/>
              <w:bottom w:val="single" w:color="000000" w:sz="4" w:space="0"/>
              <w:right w:val="single" w:color="000000" w:sz="4" w:space="0"/>
            </w:tcBorders>
          </w:tcPr>
          <w:p>
            <w:pPr>
              <w:pStyle w:val="24"/>
              <w:spacing w:before="138"/>
              <w:jc w:val="center"/>
              <w:rPr>
                <w:sz w:val="21"/>
              </w:rPr>
            </w:pPr>
            <w:r>
              <w:rPr>
                <w:w w:val="99"/>
                <w:sz w:val="21"/>
              </w:rPr>
              <w:t>5</w:t>
            </w:r>
          </w:p>
        </w:tc>
        <w:tc>
          <w:tcPr>
            <w:tcW w:w="2850" w:type="dxa"/>
            <w:tcBorders>
              <w:top w:val="single" w:color="000000" w:sz="4" w:space="0"/>
              <w:left w:val="single" w:color="000000" w:sz="4" w:space="0"/>
              <w:bottom w:val="single" w:color="000000" w:sz="4" w:space="0"/>
              <w:right w:val="single" w:color="000000" w:sz="4" w:space="0"/>
            </w:tcBorders>
          </w:tcPr>
          <w:p>
            <w:pPr>
              <w:pStyle w:val="24"/>
              <w:spacing w:before="138"/>
              <w:ind w:left="899" w:right="899"/>
              <w:jc w:val="center"/>
              <w:rPr>
                <w:sz w:val="21"/>
              </w:rPr>
            </w:pPr>
            <w:r>
              <w:rPr>
                <w:w w:val="95"/>
                <w:sz w:val="21"/>
              </w:rPr>
              <w:t>日本</w:t>
            </w:r>
          </w:p>
        </w:tc>
        <w:tc>
          <w:tcPr>
            <w:tcW w:w="894" w:type="dxa"/>
            <w:tcBorders>
              <w:top w:val="single" w:color="000000" w:sz="4" w:space="0"/>
              <w:left w:val="single" w:color="000000" w:sz="4" w:space="0"/>
              <w:bottom w:val="single" w:color="000000" w:sz="4" w:space="0"/>
              <w:right w:val="single" w:color="000000" w:sz="4" w:space="0"/>
            </w:tcBorders>
          </w:tcPr>
          <w:p>
            <w:pPr>
              <w:pStyle w:val="24"/>
              <w:spacing w:before="138"/>
              <w:ind w:left="220" w:right="221"/>
              <w:jc w:val="center"/>
              <w:rPr>
                <w:sz w:val="21"/>
              </w:rPr>
            </w:pPr>
            <w:r>
              <w:rPr>
                <w:sz w:val="21"/>
              </w:rPr>
              <w:t>15</w:t>
            </w:r>
          </w:p>
        </w:tc>
        <w:tc>
          <w:tcPr>
            <w:tcW w:w="2740" w:type="dxa"/>
            <w:tcBorders>
              <w:top w:val="single" w:color="000000" w:sz="4" w:space="0"/>
              <w:left w:val="single" w:color="000000" w:sz="4" w:space="0"/>
              <w:bottom w:val="single" w:color="000000" w:sz="4" w:space="0"/>
              <w:right w:val="nil"/>
            </w:tcBorders>
          </w:tcPr>
          <w:p>
            <w:pPr>
              <w:pStyle w:val="24"/>
              <w:spacing w:before="138"/>
              <w:ind w:left="647" w:right="650"/>
              <w:jc w:val="center"/>
              <w:rPr>
                <w:sz w:val="21"/>
              </w:rPr>
            </w:pPr>
            <w:r>
              <w:rPr>
                <w:w w:val="95"/>
                <w:sz w:val="21"/>
              </w:rPr>
              <w:t>亚洲其他国家</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0" w:hRule="exact"/>
        </w:trPr>
        <w:tc>
          <w:tcPr>
            <w:tcW w:w="772" w:type="dxa"/>
            <w:tcBorders>
              <w:top w:val="single" w:color="000000" w:sz="4" w:space="0"/>
              <w:left w:val="nil"/>
              <w:bottom w:val="single" w:color="000000" w:sz="4" w:space="0"/>
              <w:right w:val="single" w:color="000000" w:sz="4" w:space="0"/>
            </w:tcBorders>
          </w:tcPr>
          <w:p>
            <w:pPr>
              <w:pStyle w:val="24"/>
              <w:spacing w:before="138"/>
              <w:jc w:val="center"/>
              <w:rPr>
                <w:sz w:val="21"/>
              </w:rPr>
            </w:pPr>
            <w:r>
              <w:rPr>
                <w:w w:val="99"/>
                <w:sz w:val="21"/>
              </w:rPr>
              <w:t>6</w:t>
            </w:r>
          </w:p>
        </w:tc>
        <w:tc>
          <w:tcPr>
            <w:tcW w:w="2850" w:type="dxa"/>
            <w:tcBorders>
              <w:top w:val="single" w:color="000000" w:sz="4" w:space="0"/>
              <w:left w:val="single" w:color="000000" w:sz="4" w:space="0"/>
              <w:bottom w:val="single" w:color="000000" w:sz="4" w:space="0"/>
              <w:right w:val="single" w:color="000000" w:sz="4" w:space="0"/>
            </w:tcBorders>
          </w:tcPr>
          <w:p>
            <w:pPr>
              <w:pStyle w:val="24"/>
              <w:spacing w:before="138"/>
              <w:ind w:left="899" w:right="899"/>
              <w:jc w:val="center"/>
              <w:rPr>
                <w:sz w:val="21"/>
              </w:rPr>
            </w:pPr>
            <w:r>
              <w:rPr>
                <w:w w:val="95"/>
                <w:sz w:val="21"/>
              </w:rPr>
              <w:t>德国</w:t>
            </w:r>
          </w:p>
        </w:tc>
        <w:tc>
          <w:tcPr>
            <w:tcW w:w="894" w:type="dxa"/>
            <w:tcBorders>
              <w:top w:val="single" w:color="000000" w:sz="4" w:space="0"/>
              <w:left w:val="single" w:color="000000" w:sz="4" w:space="0"/>
              <w:bottom w:val="single" w:color="000000" w:sz="4" w:space="0"/>
              <w:right w:val="single" w:color="000000" w:sz="4" w:space="0"/>
            </w:tcBorders>
          </w:tcPr>
          <w:p>
            <w:pPr>
              <w:pStyle w:val="24"/>
              <w:spacing w:before="138"/>
              <w:ind w:left="220" w:right="221"/>
              <w:jc w:val="center"/>
              <w:rPr>
                <w:sz w:val="21"/>
              </w:rPr>
            </w:pPr>
            <w:r>
              <w:rPr>
                <w:sz w:val="21"/>
              </w:rPr>
              <w:t>16</w:t>
            </w:r>
          </w:p>
        </w:tc>
        <w:tc>
          <w:tcPr>
            <w:tcW w:w="2740" w:type="dxa"/>
            <w:tcBorders>
              <w:top w:val="single" w:color="000000" w:sz="4" w:space="0"/>
              <w:left w:val="single" w:color="000000" w:sz="4" w:space="0"/>
              <w:bottom w:val="single" w:color="000000" w:sz="4" w:space="0"/>
              <w:right w:val="nil"/>
            </w:tcBorders>
          </w:tcPr>
          <w:p>
            <w:pPr>
              <w:pStyle w:val="24"/>
              <w:spacing w:before="138"/>
              <w:ind w:left="647" w:right="650"/>
              <w:jc w:val="center"/>
              <w:rPr>
                <w:sz w:val="21"/>
              </w:rPr>
            </w:pPr>
            <w:r>
              <w:rPr>
                <w:w w:val="95"/>
                <w:sz w:val="21"/>
              </w:rPr>
              <w:t>西欧其他国家</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0" w:hRule="exact"/>
        </w:trPr>
        <w:tc>
          <w:tcPr>
            <w:tcW w:w="772" w:type="dxa"/>
            <w:tcBorders>
              <w:top w:val="single" w:color="000000" w:sz="4" w:space="0"/>
              <w:left w:val="nil"/>
              <w:bottom w:val="single" w:color="000000" w:sz="4" w:space="0"/>
              <w:right w:val="single" w:color="000000" w:sz="4" w:space="0"/>
            </w:tcBorders>
          </w:tcPr>
          <w:p>
            <w:pPr>
              <w:pStyle w:val="24"/>
              <w:spacing w:before="140"/>
              <w:jc w:val="center"/>
              <w:rPr>
                <w:sz w:val="21"/>
              </w:rPr>
            </w:pPr>
            <w:r>
              <w:rPr>
                <w:w w:val="99"/>
                <w:sz w:val="21"/>
              </w:rPr>
              <w:t>7</w:t>
            </w:r>
          </w:p>
        </w:tc>
        <w:tc>
          <w:tcPr>
            <w:tcW w:w="2850" w:type="dxa"/>
            <w:tcBorders>
              <w:top w:val="single" w:color="000000" w:sz="4" w:space="0"/>
              <w:left w:val="single" w:color="000000" w:sz="4" w:space="0"/>
              <w:bottom w:val="single" w:color="000000" w:sz="4" w:space="0"/>
              <w:right w:val="single" w:color="000000" w:sz="4" w:space="0"/>
            </w:tcBorders>
          </w:tcPr>
          <w:p>
            <w:pPr>
              <w:pStyle w:val="24"/>
              <w:spacing w:before="140"/>
              <w:ind w:left="899" w:right="899"/>
              <w:jc w:val="center"/>
              <w:rPr>
                <w:sz w:val="21"/>
              </w:rPr>
            </w:pPr>
            <w:r>
              <w:rPr>
                <w:w w:val="95"/>
                <w:sz w:val="21"/>
              </w:rPr>
              <w:t>法国</w:t>
            </w:r>
          </w:p>
        </w:tc>
        <w:tc>
          <w:tcPr>
            <w:tcW w:w="894" w:type="dxa"/>
            <w:tcBorders>
              <w:top w:val="single" w:color="000000" w:sz="4" w:space="0"/>
              <w:left w:val="single" w:color="000000" w:sz="4" w:space="0"/>
              <w:bottom w:val="single" w:color="000000" w:sz="4" w:space="0"/>
              <w:right w:val="single" w:color="000000" w:sz="4" w:space="0"/>
            </w:tcBorders>
          </w:tcPr>
          <w:p>
            <w:pPr>
              <w:pStyle w:val="24"/>
              <w:spacing w:before="140"/>
              <w:ind w:left="220" w:right="221"/>
              <w:jc w:val="center"/>
              <w:rPr>
                <w:sz w:val="21"/>
              </w:rPr>
            </w:pPr>
            <w:r>
              <w:rPr>
                <w:sz w:val="21"/>
              </w:rPr>
              <w:t>17</w:t>
            </w:r>
          </w:p>
        </w:tc>
        <w:tc>
          <w:tcPr>
            <w:tcW w:w="2740" w:type="dxa"/>
            <w:tcBorders>
              <w:top w:val="single" w:color="000000" w:sz="4" w:space="0"/>
              <w:left w:val="single" w:color="000000" w:sz="4" w:space="0"/>
              <w:bottom w:val="single" w:color="000000" w:sz="4" w:space="0"/>
              <w:right w:val="nil"/>
            </w:tcBorders>
          </w:tcPr>
          <w:p>
            <w:pPr>
              <w:pStyle w:val="24"/>
              <w:spacing w:before="140"/>
              <w:ind w:left="647" w:right="650"/>
              <w:jc w:val="center"/>
              <w:rPr>
                <w:sz w:val="21"/>
              </w:rPr>
            </w:pPr>
            <w:r>
              <w:rPr>
                <w:w w:val="95"/>
                <w:sz w:val="21"/>
              </w:rPr>
              <w:t>东欧</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0" w:hRule="exact"/>
        </w:trPr>
        <w:tc>
          <w:tcPr>
            <w:tcW w:w="772" w:type="dxa"/>
            <w:tcBorders>
              <w:top w:val="single" w:color="000000" w:sz="4" w:space="0"/>
              <w:left w:val="nil"/>
              <w:bottom w:val="single" w:color="000000" w:sz="4" w:space="0"/>
              <w:right w:val="single" w:color="000000" w:sz="4" w:space="0"/>
            </w:tcBorders>
          </w:tcPr>
          <w:p>
            <w:pPr>
              <w:pStyle w:val="24"/>
              <w:spacing w:before="139"/>
              <w:jc w:val="center"/>
              <w:rPr>
                <w:sz w:val="21"/>
              </w:rPr>
            </w:pPr>
            <w:r>
              <w:rPr>
                <w:w w:val="99"/>
                <w:sz w:val="21"/>
              </w:rPr>
              <w:t>8</w:t>
            </w:r>
          </w:p>
        </w:tc>
        <w:tc>
          <w:tcPr>
            <w:tcW w:w="2850" w:type="dxa"/>
            <w:tcBorders>
              <w:top w:val="single" w:color="000000" w:sz="4" w:space="0"/>
              <w:left w:val="single" w:color="000000" w:sz="4" w:space="0"/>
              <w:bottom w:val="single" w:color="000000" w:sz="4" w:space="0"/>
              <w:right w:val="single" w:color="000000" w:sz="4" w:space="0"/>
            </w:tcBorders>
          </w:tcPr>
          <w:p>
            <w:pPr>
              <w:pStyle w:val="24"/>
              <w:spacing w:before="139"/>
              <w:ind w:left="899" w:right="899"/>
              <w:jc w:val="center"/>
              <w:rPr>
                <w:sz w:val="21"/>
              </w:rPr>
            </w:pPr>
            <w:r>
              <w:rPr>
                <w:w w:val="95"/>
                <w:sz w:val="21"/>
              </w:rPr>
              <w:t>英国</w:t>
            </w:r>
          </w:p>
        </w:tc>
        <w:tc>
          <w:tcPr>
            <w:tcW w:w="894" w:type="dxa"/>
            <w:tcBorders>
              <w:top w:val="single" w:color="000000" w:sz="4" w:space="0"/>
              <w:left w:val="single" w:color="000000" w:sz="4" w:space="0"/>
              <w:bottom w:val="single" w:color="000000" w:sz="4" w:space="0"/>
              <w:right w:val="single" w:color="000000" w:sz="4" w:space="0"/>
            </w:tcBorders>
          </w:tcPr>
          <w:p>
            <w:pPr>
              <w:pStyle w:val="24"/>
              <w:spacing w:before="139"/>
              <w:ind w:left="220" w:right="221"/>
              <w:jc w:val="center"/>
              <w:rPr>
                <w:sz w:val="21"/>
              </w:rPr>
            </w:pPr>
            <w:r>
              <w:rPr>
                <w:sz w:val="21"/>
              </w:rPr>
              <w:t>18</w:t>
            </w:r>
          </w:p>
        </w:tc>
        <w:tc>
          <w:tcPr>
            <w:tcW w:w="2740" w:type="dxa"/>
            <w:tcBorders>
              <w:top w:val="single" w:color="000000" w:sz="4" w:space="0"/>
              <w:left w:val="single" w:color="000000" w:sz="4" w:space="0"/>
              <w:bottom w:val="single" w:color="000000" w:sz="4" w:space="0"/>
              <w:right w:val="nil"/>
            </w:tcBorders>
          </w:tcPr>
          <w:p>
            <w:pPr>
              <w:pStyle w:val="24"/>
              <w:spacing w:before="139"/>
              <w:ind w:left="647" w:right="650"/>
              <w:jc w:val="center"/>
              <w:rPr>
                <w:sz w:val="21"/>
              </w:rPr>
            </w:pPr>
            <w:r>
              <w:rPr>
                <w:w w:val="95"/>
                <w:sz w:val="21"/>
              </w:rPr>
              <w:t>非洲</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0" w:hRule="exact"/>
        </w:trPr>
        <w:tc>
          <w:tcPr>
            <w:tcW w:w="772" w:type="dxa"/>
            <w:tcBorders>
              <w:top w:val="single" w:color="000000" w:sz="4" w:space="0"/>
              <w:left w:val="nil"/>
              <w:bottom w:val="single" w:color="000000" w:sz="4" w:space="0"/>
              <w:right w:val="single" w:color="000000" w:sz="4" w:space="0"/>
            </w:tcBorders>
          </w:tcPr>
          <w:p>
            <w:pPr>
              <w:pStyle w:val="24"/>
              <w:spacing w:before="139"/>
              <w:jc w:val="center"/>
              <w:rPr>
                <w:sz w:val="21"/>
              </w:rPr>
            </w:pPr>
            <w:r>
              <w:rPr>
                <w:w w:val="99"/>
                <w:sz w:val="21"/>
              </w:rPr>
              <w:t>9</w:t>
            </w:r>
          </w:p>
        </w:tc>
        <w:tc>
          <w:tcPr>
            <w:tcW w:w="2850" w:type="dxa"/>
            <w:tcBorders>
              <w:top w:val="single" w:color="000000" w:sz="4" w:space="0"/>
              <w:left w:val="single" w:color="000000" w:sz="4" w:space="0"/>
              <w:bottom w:val="single" w:color="000000" w:sz="4" w:space="0"/>
              <w:right w:val="single" w:color="000000" w:sz="4" w:space="0"/>
            </w:tcBorders>
          </w:tcPr>
          <w:p>
            <w:pPr>
              <w:pStyle w:val="24"/>
              <w:spacing w:before="139"/>
              <w:ind w:left="899" w:right="899"/>
              <w:jc w:val="center"/>
              <w:rPr>
                <w:sz w:val="21"/>
              </w:rPr>
            </w:pPr>
            <w:r>
              <w:rPr>
                <w:w w:val="95"/>
                <w:sz w:val="21"/>
              </w:rPr>
              <w:t>印度</w:t>
            </w:r>
          </w:p>
        </w:tc>
        <w:tc>
          <w:tcPr>
            <w:tcW w:w="894" w:type="dxa"/>
            <w:tcBorders>
              <w:top w:val="single" w:color="000000" w:sz="4" w:space="0"/>
              <w:left w:val="single" w:color="000000" w:sz="4" w:space="0"/>
              <w:bottom w:val="single" w:color="000000" w:sz="4" w:space="0"/>
              <w:right w:val="single" w:color="000000" w:sz="4" w:space="0"/>
            </w:tcBorders>
          </w:tcPr>
          <w:p>
            <w:pPr>
              <w:pStyle w:val="24"/>
              <w:spacing w:before="139"/>
              <w:ind w:left="220" w:right="221"/>
              <w:jc w:val="center"/>
              <w:rPr>
                <w:sz w:val="21"/>
              </w:rPr>
            </w:pPr>
            <w:r>
              <w:rPr>
                <w:sz w:val="21"/>
              </w:rPr>
              <w:t>19</w:t>
            </w:r>
          </w:p>
        </w:tc>
        <w:tc>
          <w:tcPr>
            <w:tcW w:w="2740" w:type="dxa"/>
            <w:tcBorders>
              <w:top w:val="single" w:color="000000" w:sz="4" w:space="0"/>
              <w:left w:val="single" w:color="000000" w:sz="4" w:space="0"/>
              <w:bottom w:val="single" w:color="000000" w:sz="4" w:space="0"/>
              <w:right w:val="nil"/>
            </w:tcBorders>
          </w:tcPr>
          <w:p>
            <w:pPr>
              <w:pStyle w:val="24"/>
              <w:spacing w:before="139"/>
              <w:ind w:left="644" w:right="650"/>
              <w:jc w:val="center"/>
              <w:rPr>
                <w:sz w:val="21"/>
              </w:rPr>
            </w:pPr>
            <w:r>
              <w:rPr>
                <w:w w:val="95"/>
                <w:sz w:val="21"/>
              </w:rPr>
              <w:t>其他国家</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0" w:hRule="exact"/>
        </w:trPr>
        <w:tc>
          <w:tcPr>
            <w:tcW w:w="772" w:type="dxa"/>
            <w:tcBorders>
              <w:top w:val="single" w:color="000000" w:sz="4" w:space="0"/>
              <w:left w:val="nil"/>
              <w:bottom w:val="single" w:color="000000" w:sz="4" w:space="0"/>
              <w:right w:val="single" w:color="000000" w:sz="4" w:space="0"/>
            </w:tcBorders>
          </w:tcPr>
          <w:p>
            <w:pPr>
              <w:pStyle w:val="24"/>
              <w:spacing w:before="138"/>
              <w:ind w:left="165" w:right="160"/>
              <w:jc w:val="center"/>
              <w:rPr>
                <w:sz w:val="21"/>
              </w:rPr>
            </w:pPr>
            <w:r>
              <w:rPr>
                <w:sz w:val="21"/>
              </w:rPr>
              <w:t>10</w:t>
            </w:r>
          </w:p>
        </w:tc>
        <w:tc>
          <w:tcPr>
            <w:tcW w:w="2850" w:type="dxa"/>
            <w:tcBorders>
              <w:top w:val="single" w:color="000000" w:sz="4" w:space="0"/>
              <w:left w:val="single" w:color="000000" w:sz="4" w:space="0"/>
              <w:bottom w:val="single" w:color="000000" w:sz="4" w:space="0"/>
              <w:right w:val="single" w:color="000000" w:sz="4" w:space="0"/>
            </w:tcBorders>
          </w:tcPr>
          <w:p>
            <w:pPr>
              <w:pStyle w:val="24"/>
              <w:spacing w:before="138"/>
              <w:ind w:left="899" w:right="899"/>
              <w:jc w:val="center"/>
              <w:rPr>
                <w:sz w:val="21"/>
              </w:rPr>
            </w:pPr>
            <w:r>
              <w:rPr>
                <w:w w:val="95"/>
                <w:sz w:val="21"/>
              </w:rPr>
              <w:t>墨西哥</w:t>
            </w:r>
          </w:p>
        </w:tc>
        <w:tc>
          <w:tcPr>
            <w:tcW w:w="894" w:type="dxa"/>
            <w:tcBorders>
              <w:top w:val="single" w:color="000000" w:sz="4" w:space="0"/>
              <w:left w:val="single" w:color="000000" w:sz="4" w:space="0"/>
              <w:bottom w:val="single" w:color="000000" w:sz="4" w:space="0"/>
              <w:right w:val="single" w:color="000000" w:sz="4" w:space="0"/>
            </w:tcBorders>
          </w:tcPr>
          <w:p/>
        </w:tc>
        <w:tc>
          <w:tcPr>
            <w:tcW w:w="2740" w:type="dxa"/>
            <w:tcBorders>
              <w:top w:val="single" w:color="000000" w:sz="4" w:space="0"/>
              <w:left w:val="single" w:color="000000" w:sz="4" w:space="0"/>
              <w:bottom w:val="single" w:color="000000" w:sz="4" w:space="0"/>
              <w:right w:val="nil"/>
            </w:tcBorders>
          </w:tcPr>
          <w:p/>
        </w:tc>
      </w:tr>
    </w:tbl>
    <w:p>
      <w:pPr>
        <w:spacing w:line="360" w:lineRule="auto"/>
        <w:ind w:firstLine="399" w:firstLineChars="200"/>
        <w:rPr>
          <w:rFonts w:ascii="黑体" w:eastAsia="黑体"/>
          <w:b/>
          <w:w w:val="95"/>
          <w:sz w:val="21"/>
          <w:lang w:eastAsia="zh-CN"/>
        </w:rPr>
      </w:pPr>
    </w:p>
    <w:p>
      <w:pPr>
        <w:pStyle w:val="8"/>
        <w:spacing w:before="12000" w:beforeLines="5000" w:after="120" w:afterLines="50"/>
        <w:ind w:left="0" w:firstLine="562" w:firstLineChars="200"/>
        <w:jc w:val="center"/>
        <w:rPr>
          <w:sz w:val="28"/>
          <w:lang w:eastAsia="zh-CN"/>
        </w:rPr>
      </w:pPr>
      <w:r>
        <w:rPr>
          <w:sz w:val="28"/>
          <w:lang w:eastAsia="zh-CN"/>
        </w:rPr>
        <w:t>（四）人工智能企业主要指标表（电软统企5表）</w:t>
      </w:r>
    </w:p>
    <w:p>
      <w:pPr>
        <w:pStyle w:val="10"/>
        <w:spacing w:before="240" w:beforeLines="100" w:line="360" w:lineRule="auto"/>
        <w:ind w:firstLine="399" w:firstLineChars="200"/>
        <w:jc w:val="both"/>
        <w:rPr>
          <w:bCs/>
          <w:lang w:eastAsia="zh-CN"/>
        </w:rPr>
      </w:pPr>
      <w:r>
        <w:rPr>
          <w:rFonts w:hint="eastAsia" w:ascii="黑体" w:eastAsia="黑体"/>
          <w:b/>
          <w:w w:val="95"/>
          <w:lang w:eastAsia="zh-CN"/>
        </w:rPr>
        <w:t>1．人工智能业务收入：</w:t>
      </w:r>
      <w:r>
        <w:rPr>
          <w:rFonts w:hint="eastAsia"/>
          <w:bCs/>
          <w:lang w:eastAsia="zh-CN"/>
        </w:rPr>
        <w:t>指企业在报告期从事人工智能软件、人工智能服务和人工智能产品三项业务收入的合计。</w:t>
      </w:r>
    </w:p>
    <w:p>
      <w:pPr>
        <w:pStyle w:val="10"/>
        <w:spacing w:line="360" w:lineRule="auto"/>
        <w:ind w:firstLine="399" w:firstLineChars="200"/>
        <w:jc w:val="both"/>
        <w:rPr>
          <w:bCs/>
          <w:lang w:eastAsia="zh-CN"/>
        </w:rPr>
      </w:pPr>
      <w:r>
        <w:rPr>
          <w:b/>
          <w:w w:val="95"/>
          <w:szCs w:val="22"/>
          <w:lang w:eastAsia="zh-CN"/>
        </w:rPr>
        <w:t>2.人工智能软件收入：</w:t>
      </w:r>
      <w:r>
        <w:rPr>
          <w:rFonts w:hint="eastAsia"/>
          <w:bCs/>
          <w:lang w:eastAsia="zh-CN"/>
        </w:rPr>
        <w:t>指企业在报告期从事开发研制销售人工智能软件所获得的收入，具体人工智能软件范围见《附录四人工智能业务分类表（试行）》。</w:t>
      </w:r>
    </w:p>
    <w:p>
      <w:pPr>
        <w:pStyle w:val="10"/>
        <w:spacing w:line="360" w:lineRule="auto"/>
        <w:ind w:firstLine="399" w:firstLineChars="200"/>
        <w:jc w:val="both"/>
        <w:rPr>
          <w:bCs/>
          <w:lang w:eastAsia="zh-CN"/>
        </w:rPr>
      </w:pPr>
      <w:r>
        <w:rPr>
          <w:b/>
          <w:w w:val="95"/>
          <w:szCs w:val="22"/>
          <w:lang w:eastAsia="zh-CN"/>
        </w:rPr>
        <w:t>3.人工智能服务收入：</w:t>
      </w:r>
      <w:r>
        <w:rPr>
          <w:rFonts w:hint="eastAsia"/>
          <w:bCs/>
          <w:lang w:eastAsia="zh-CN"/>
        </w:rPr>
        <w:t>指企业在报告期按照客户需求提供人工智能服务所获得的收入，具体人工智能服务范围见《附录四 人工智能业务分类表（试行）》。</w:t>
      </w:r>
    </w:p>
    <w:p>
      <w:pPr>
        <w:pStyle w:val="10"/>
        <w:spacing w:line="360" w:lineRule="auto"/>
        <w:ind w:firstLine="399" w:firstLineChars="200"/>
        <w:jc w:val="both"/>
        <w:rPr>
          <w:bCs/>
          <w:lang w:eastAsia="zh-CN"/>
        </w:rPr>
      </w:pPr>
      <w:r>
        <w:rPr>
          <w:b/>
          <w:w w:val="95"/>
          <w:szCs w:val="22"/>
          <w:lang w:eastAsia="zh-CN"/>
        </w:rPr>
        <w:t>4.人工智能产品收入：</w:t>
      </w:r>
      <w:r>
        <w:rPr>
          <w:rFonts w:hint="eastAsia"/>
          <w:bCs/>
          <w:lang w:eastAsia="zh-CN"/>
        </w:rPr>
        <w:t>指企业在报告期销售人工智能产品所获得的收入，具体人工智能产品范围见《附录四 人工智能业务分类表（试行）》。</w:t>
      </w:r>
    </w:p>
    <w:p>
      <w:pPr>
        <w:pStyle w:val="8"/>
        <w:spacing w:before="12000" w:beforeLines="5000" w:line="360" w:lineRule="auto"/>
        <w:ind w:left="0" w:firstLine="562" w:firstLineChars="200"/>
        <w:jc w:val="center"/>
        <w:rPr>
          <w:sz w:val="28"/>
          <w:lang w:eastAsia="zh-CN"/>
        </w:rPr>
      </w:pPr>
      <w:r>
        <w:rPr>
          <w:sz w:val="28"/>
          <w:lang w:eastAsia="zh-CN"/>
        </w:rPr>
        <w:t>（五）软件和信息技术服务业主要指标月报表、软件和信息技术服务业重点联系企业月报</w:t>
      </w:r>
      <w:r>
        <w:rPr>
          <w:rFonts w:hint="eastAsia"/>
          <w:sz w:val="28"/>
          <w:lang w:eastAsia="zh-CN"/>
        </w:rPr>
        <w:t>（</w:t>
      </w:r>
      <w:r>
        <w:rPr>
          <w:sz w:val="28"/>
          <w:lang w:eastAsia="zh-CN"/>
        </w:rPr>
        <w:t>电软统企 6 表）</w:t>
      </w:r>
    </w:p>
    <w:p>
      <w:pPr>
        <w:pStyle w:val="23"/>
        <w:numPr>
          <w:ilvl w:val="1"/>
          <w:numId w:val="1"/>
        </w:numPr>
        <w:tabs>
          <w:tab w:val="left" w:pos="1286"/>
        </w:tabs>
        <w:spacing w:before="120" w:beforeLines="50" w:line="360" w:lineRule="exact"/>
        <w:ind w:hanging="631"/>
        <w:rPr>
          <w:sz w:val="21"/>
          <w:lang w:eastAsia="zh-CN"/>
        </w:rPr>
      </w:pPr>
      <w:r>
        <w:rPr>
          <w:b/>
          <w:w w:val="95"/>
          <w:sz w:val="21"/>
          <w:lang w:eastAsia="zh-CN"/>
        </w:rPr>
        <w:t>营业收入：</w:t>
      </w:r>
      <w:r>
        <w:rPr>
          <w:sz w:val="21"/>
          <w:lang w:eastAsia="zh-CN"/>
        </w:rPr>
        <w:t>根据会计“利润表”中对应的本年累计数填报。</w:t>
      </w:r>
    </w:p>
    <w:p>
      <w:pPr>
        <w:pStyle w:val="23"/>
        <w:numPr>
          <w:ilvl w:val="1"/>
          <w:numId w:val="1"/>
        </w:numPr>
        <w:tabs>
          <w:tab w:val="left" w:pos="1286"/>
        </w:tabs>
        <w:spacing w:line="360" w:lineRule="exact"/>
        <w:ind w:hanging="631"/>
        <w:rPr>
          <w:sz w:val="21"/>
          <w:lang w:eastAsia="zh-CN"/>
        </w:rPr>
      </w:pPr>
      <w:r>
        <w:rPr>
          <w:b/>
          <w:w w:val="95"/>
          <w:sz w:val="21"/>
          <w:lang w:eastAsia="zh-CN"/>
        </w:rPr>
        <w:t>营业成本：</w:t>
      </w:r>
      <w:r>
        <w:rPr>
          <w:sz w:val="21"/>
          <w:lang w:eastAsia="zh-CN"/>
        </w:rPr>
        <w:t>根据会计“利润表”中对应的本年累计数填报。</w:t>
      </w:r>
    </w:p>
    <w:p>
      <w:pPr>
        <w:pStyle w:val="23"/>
        <w:numPr>
          <w:ilvl w:val="1"/>
          <w:numId w:val="1"/>
        </w:numPr>
        <w:tabs>
          <w:tab w:val="left" w:pos="1286"/>
        </w:tabs>
        <w:spacing w:line="360" w:lineRule="exact"/>
        <w:ind w:hanging="631"/>
        <w:rPr>
          <w:b/>
          <w:w w:val="95"/>
          <w:sz w:val="21"/>
          <w:lang w:eastAsia="zh-CN"/>
        </w:rPr>
      </w:pPr>
      <w:r>
        <w:rPr>
          <w:b/>
          <w:w w:val="95"/>
          <w:sz w:val="21"/>
          <w:lang w:eastAsia="zh-CN"/>
        </w:rPr>
        <w:t>税金总额</w:t>
      </w:r>
      <w:r>
        <w:rPr>
          <w:rFonts w:hint="eastAsia"/>
          <w:b/>
          <w:w w:val="95"/>
          <w:sz w:val="21"/>
          <w:lang w:eastAsia="zh-CN"/>
        </w:rPr>
        <w:t>：</w:t>
      </w:r>
      <w:r>
        <w:rPr>
          <w:lang w:eastAsia="zh-CN"/>
        </w:rPr>
        <w:t>根据会计“利润表”中</w:t>
      </w:r>
      <w:r>
        <w:rPr>
          <w:rFonts w:hint="eastAsia"/>
          <w:lang w:eastAsia="zh-CN"/>
        </w:rPr>
        <w:t>除允许抵扣的增指税以外的企业缴纳的各项</w:t>
      </w:r>
    </w:p>
    <w:p>
      <w:pPr>
        <w:pStyle w:val="23"/>
        <w:numPr>
          <w:ilvl w:val="255"/>
          <w:numId w:val="0"/>
        </w:numPr>
        <w:tabs>
          <w:tab w:val="left" w:pos="1286"/>
        </w:tabs>
        <w:spacing w:line="360" w:lineRule="exact"/>
        <w:rPr>
          <w:b/>
          <w:w w:val="95"/>
          <w:sz w:val="21"/>
          <w:lang w:eastAsia="zh-CN"/>
        </w:rPr>
      </w:pPr>
      <w:r>
        <w:rPr>
          <w:rFonts w:hint="eastAsia"/>
          <w:lang w:eastAsia="zh-CN"/>
        </w:rPr>
        <w:t>税金及其附加的总额。</w:t>
      </w:r>
    </w:p>
    <w:p>
      <w:pPr>
        <w:pStyle w:val="10"/>
        <w:spacing w:line="100" w:lineRule="exact"/>
        <w:rPr>
          <w:sz w:val="8"/>
          <w:szCs w:val="15"/>
          <w:lang w:eastAsia="zh-CN"/>
        </w:rPr>
      </w:pPr>
    </w:p>
    <w:p>
      <w:pPr>
        <w:pStyle w:val="10"/>
        <w:spacing w:line="360" w:lineRule="exact"/>
        <w:ind w:left="116" w:right="114" w:firstLine="537"/>
        <w:rPr>
          <w:szCs w:val="22"/>
          <w:lang w:eastAsia="zh-CN"/>
        </w:rPr>
      </w:pPr>
      <w:r>
        <w:rPr>
          <w:b/>
          <w:lang w:eastAsia="zh-CN"/>
        </w:rPr>
        <w:t>（</w:t>
      </w:r>
      <w:r>
        <w:rPr>
          <w:rFonts w:hint="eastAsia"/>
          <w:b/>
          <w:lang w:eastAsia="zh-CN"/>
        </w:rPr>
        <w:t>4</w:t>
      </w:r>
      <w:r>
        <w:rPr>
          <w:b/>
          <w:lang w:eastAsia="zh-CN"/>
        </w:rPr>
        <w:t>）</w:t>
      </w:r>
      <w:r>
        <w:rPr>
          <w:b/>
          <w:w w:val="95"/>
          <w:szCs w:val="22"/>
          <w:lang w:eastAsia="zh-CN"/>
        </w:rPr>
        <w:t>费用总额：</w:t>
      </w:r>
      <w:r>
        <w:rPr>
          <w:szCs w:val="22"/>
          <w:lang w:eastAsia="zh-CN"/>
        </w:rPr>
        <w:t>根据会计“利润表”中对应的销售费用、管理费用和财务费用的本年累计数加总后填列。</w:t>
      </w:r>
    </w:p>
    <w:p>
      <w:pPr>
        <w:pStyle w:val="10"/>
        <w:spacing w:line="360" w:lineRule="exact"/>
        <w:ind w:left="116" w:leftChars="53" w:firstLine="497" w:firstLineChars="249"/>
        <w:rPr>
          <w:szCs w:val="22"/>
          <w:lang w:eastAsia="zh-CN"/>
        </w:rPr>
      </w:pPr>
      <w:r>
        <w:rPr>
          <w:rFonts w:hint="eastAsia"/>
          <w:b/>
          <w:w w:val="95"/>
          <w:szCs w:val="22"/>
          <w:lang w:eastAsia="zh-CN"/>
        </w:rPr>
        <w:t>（</w:t>
      </w:r>
      <w:r>
        <w:rPr>
          <w:b/>
          <w:w w:val="95"/>
          <w:szCs w:val="22"/>
          <w:lang w:eastAsia="zh-CN"/>
        </w:rPr>
        <w:t>5</w:t>
      </w:r>
      <w:r>
        <w:rPr>
          <w:rFonts w:hint="eastAsia"/>
          <w:b/>
          <w:w w:val="95"/>
          <w:szCs w:val="22"/>
          <w:lang w:eastAsia="zh-CN"/>
        </w:rPr>
        <w:t>）从业人员工资总额：</w:t>
      </w:r>
      <w:r>
        <w:rPr>
          <w:rFonts w:hint="eastAsia"/>
          <w:szCs w:val="22"/>
          <w:lang w:eastAsia="zh-CN"/>
        </w:rPr>
        <w:t>指根据《关于工资总额组成的规定》（</w:t>
      </w:r>
      <w:r>
        <w:rPr>
          <w:szCs w:val="22"/>
          <w:lang w:eastAsia="zh-CN"/>
        </w:rPr>
        <w:t>1990年1月1日国家统计局发布的一号令）进行修订，本单位在报告期内直接支付给本单位全部从业人员的劳动报酬总额。包括计时工资、计件工资、奖金、津贴和补贴、加班加点工资、特殊情况下支付的工资，是在岗职工工资总额、劳务派遣人员工资总额和其他从业人员工资总额之和。</w:t>
      </w:r>
    </w:p>
    <w:p>
      <w:pPr>
        <w:pStyle w:val="10"/>
        <w:spacing w:line="360" w:lineRule="exact"/>
        <w:ind w:left="116" w:firstLine="402"/>
        <w:rPr>
          <w:szCs w:val="22"/>
          <w:lang w:eastAsia="zh-CN"/>
        </w:rPr>
      </w:pPr>
      <w:r>
        <w:rPr>
          <w:rFonts w:hint="eastAsia"/>
          <w:szCs w:val="22"/>
          <w:lang w:eastAsia="zh-CN"/>
        </w:rPr>
        <w:t>工资总额是税前工资，包括单位从个人工资中直接为其代扣或代缴的房费、水费、电费、住房公积金和社会保险基金个人缴纳部分等。</w:t>
      </w:r>
    </w:p>
    <w:p>
      <w:pPr>
        <w:pStyle w:val="10"/>
        <w:spacing w:line="360" w:lineRule="exact"/>
        <w:ind w:left="116" w:firstLine="402"/>
        <w:rPr>
          <w:szCs w:val="22"/>
          <w:lang w:eastAsia="zh-CN"/>
        </w:rPr>
      </w:pPr>
      <w:r>
        <w:rPr>
          <w:rFonts w:hint="eastAsia"/>
          <w:szCs w:val="22"/>
          <w:lang w:eastAsia="zh-CN"/>
        </w:rPr>
        <w:t>工资总额不论是计入成本的还是不计入成本的，不论是以货币形式支付的还是以实物形式支付的，均应列入工资总额的计算范围。</w:t>
      </w:r>
    </w:p>
    <w:p>
      <w:pPr>
        <w:pStyle w:val="10"/>
        <w:spacing w:line="360" w:lineRule="exact"/>
        <w:ind w:left="116" w:firstLine="402"/>
        <w:rPr>
          <w:szCs w:val="22"/>
          <w:lang w:eastAsia="zh-CN"/>
        </w:rPr>
      </w:pPr>
      <w:r>
        <w:rPr>
          <w:b/>
          <w:lang w:eastAsia="zh-CN"/>
        </w:rPr>
        <w:t>（</w:t>
      </w:r>
      <w:r>
        <w:rPr>
          <w:rFonts w:hint="eastAsia"/>
          <w:b/>
          <w:lang w:eastAsia="zh-CN"/>
        </w:rPr>
        <w:t>6</w:t>
      </w:r>
      <w:r>
        <w:rPr>
          <w:b/>
          <w:lang w:eastAsia="zh-CN"/>
        </w:rPr>
        <w:t>）</w:t>
      </w:r>
      <w:r>
        <w:rPr>
          <w:b/>
          <w:w w:val="95"/>
          <w:szCs w:val="22"/>
          <w:lang w:eastAsia="zh-CN"/>
        </w:rPr>
        <w:t>订单同比增长：</w:t>
      </w:r>
      <w:r>
        <w:rPr>
          <w:szCs w:val="22"/>
          <w:lang w:eastAsia="zh-CN"/>
        </w:rPr>
        <w:t>指企业在报告期的软件业务累计订单比去年同期的增长量。本期累计订单是报企业自本年初开始到报告期末累计签订的有效软件业务合同总金额。</w:t>
      </w:r>
    </w:p>
    <w:p>
      <w:pPr>
        <w:pStyle w:val="10"/>
        <w:spacing w:line="360" w:lineRule="exact"/>
        <w:ind w:left="116" w:right="114" w:firstLine="537"/>
        <w:rPr>
          <w:szCs w:val="22"/>
          <w:lang w:eastAsia="zh-CN"/>
        </w:rPr>
      </w:pPr>
      <w:r>
        <w:rPr>
          <w:szCs w:val="22"/>
          <w:lang w:eastAsia="zh-CN"/>
        </w:rPr>
        <w:t>本报表其他“指标解释”参照本制度《软件企业主要</w:t>
      </w:r>
      <w:r>
        <w:rPr>
          <w:rFonts w:hint="eastAsia"/>
          <w:szCs w:val="22"/>
          <w:lang w:eastAsia="zh-CN"/>
        </w:rPr>
        <w:t>财务</w:t>
      </w:r>
      <w:r>
        <w:rPr>
          <w:szCs w:val="22"/>
          <w:lang w:eastAsia="zh-CN"/>
        </w:rPr>
        <w:t>指标</w:t>
      </w:r>
      <w:r>
        <w:rPr>
          <w:rFonts w:hint="eastAsia"/>
          <w:szCs w:val="22"/>
          <w:lang w:eastAsia="zh-CN"/>
        </w:rPr>
        <w:t>表</w:t>
      </w:r>
      <w:r>
        <w:rPr>
          <w:szCs w:val="22"/>
          <w:lang w:eastAsia="zh-CN"/>
        </w:rPr>
        <w:t>》[电软统企 2 表]</w:t>
      </w:r>
      <w:r>
        <w:rPr>
          <w:rFonts w:hint="eastAsia"/>
          <w:szCs w:val="22"/>
          <w:lang w:eastAsia="zh-CN"/>
        </w:rPr>
        <w:t>、《企业主要业务指标表》</w:t>
      </w:r>
      <w:r>
        <w:rPr>
          <w:szCs w:val="22"/>
          <w:lang w:eastAsia="zh-CN"/>
        </w:rPr>
        <w:t xml:space="preserve">[电软统企 </w:t>
      </w:r>
      <w:r>
        <w:rPr>
          <w:rFonts w:hint="eastAsia"/>
          <w:szCs w:val="22"/>
          <w:lang w:eastAsia="zh-CN"/>
        </w:rPr>
        <w:t>3</w:t>
      </w:r>
      <w:r>
        <w:rPr>
          <w:szCs w:val="22"/>
          <w:lang w:eastAsia="zh-CN"/>
        </w:rPr>
        <w:t>表]中的有关指标解释与计算方法。</w:t>
      </w:r>
      <w:bookmarkStart w:id="6" w:name="_TOC_250000"/>
      <w:bookmarkEnd w:id="6"/>
      <w:bookmarkStart w:id="7" w:name="_Toc6211"/>
      <w:bookmarkStart w:id="8" w:name="_Toc27084"/>
      <w:bookmarkStart w:id="9" w:name="_Toc6668"/>
      <w:bookmarkStart w:id="10" w:name="_Toc26564"/>
      <w:bookmarkStart w:id="11" w:name="_Toc22077"/>
    </w:p>
    <w:p>
      <w:pPr>
        <w:pStyle w:val="10"/>
        <w:spacing w:line="360" w:lineRule="exact"/>
        <w:ind w:left="116" w:right="114" w:firstLine="537"/>
        <w:rPr>
          <w:b/>
          <w:szCs w:val="22"/>
          <w:lang w:eastAsia="zh-CN"/>
        </w:rPr>
      </w:pPr>
    </w:p>
    <w:p>
      <w:pPr>
        <w:pStyle w:val="10"/>
        <w:spacing w:line="360" w:lineRule="exact"/>
        <w:ind w:left="116" w:right="114" w:firstLine="537"/>
        <w:rPr>
          <w:b/>
          <w:szCs w:val="22"/>
          <w:lang w:eastAsia="zh-CN"/>
        </w:rPr>
      </w:pPr>
    </w:p>
    <w:p>
      <w:pPr>
        <w:pStyle w:val="10"/>
        <w:spacing w:before="12000" w:beforeLines="5000" w:line="360" w:lineRule="exact"/>
        <w:ind w:right="114"/>
        <w:jc w:val="center"/>
        <w:rPr>
          <w:rFonts w:ascii="黑体" w:hAnsi="黑体" w:eastAsia="黑体"/>
          <w:sz w:val="48"/>
          <w:lang w:eastAsia="zh-CN"/>
        </w:rPr>
      </w:pPr>
      <w:r>
        <w:rPr>
          <w:rFonts w:hint="eastAsia" w:ascii="黑体" w:hAnsi="黑体" w:eastAsia="黑体"/>
          <w:sz w:val="32"/>
          <w:szCs w:val="22"/>
          <w:lang w:eastAsia="zh-CN"/>
        </w:rPr>
        <w:t>其他有关解释及说明</w:t>
      </w:r>
      <w:bookmarkEnd w:id="7"/>
      <w:bookmarkEnd w:id="8"/>
      <w:bookmarkEnd w:id="9"/>
      <w:bookmarkEnd w:id="10"/>
      <w:bookmarkEnd w:id="11"/>
    </w:p>
    <w:p>
      <w:pPr>
        <w:pStyle w:val="8"/>
        <w:spacing w:before="248"/>
        <w:ind w:left="418"/>
        <w:rPr>
          <w:lang w:eastAsia="zh-CN"/>
        </w:rPr>
      </w:pPr>
      <w:r>
        <w:rPr>
          <w:w w:val="95"/>
          <w:lang w:eastAsia="zh-CN"/>
        </w:rPr>
        <w:t>（一）软件产业统计调查单位的确定</w:t>
      </w:r>
    </w:p>
    <w:p>
      <w:pPr>
        <w:pStyle w:val="10"/>
        <w:spacing w:before="8"/>
        <w:rPr>
          <w:rFonts w:ascii="黑体"/>
          <w:b/>
          <w:sz w:val="15"/>
          <w:lang w:eastAsia="zh-CN"/>
        </w:rPr>
      </w:pPr>
    </w:p>
    <w:p>
      <w:pPr>
        <w:pStyle w:val="10"/>
        <w:spacing w:line="360" w:lineRule="auto"/>
        <w:ind w:left="104" w:right="106" w:firstLine="420"/>
        <w:jc w:val="both"/>
        <w:rPr>
          <w:lang w:eastAsia="zh-CN"/>
        </w:rPr>
      </w:pPr>
      <w:r>
        <w:rPr>
          <w:lang w:eastAsia="zh-CN"/>
        </w:rPr>
        <w:t>独立核算法人单位：是指具有独立核算法人资格的企业，即必须经工商行政管理部门核准注册登记，并领取了《企业法人营业执照》或《中华人民共和国企业法人营业执照》</w:t>
      </w:r>
      <w:r>
        <w:rPr>
          <w:rFonts w:hint="eastAsia"/>
          <w:lang w:eastAsia="zh-CN"/>
        </w:rPr>
        <w:t>或新版《营业执照》</w:t>
      </w:r>
      <w:r>
        <w:rPr>
          <w:lang w:eastAsia="zh-CN"/>
        </w:rPr>
        <w:t>的，并同时具备以下三个条件：</w:t>
      </w:r>
    </w:p>
    <w:p>
      <w:pPr>
        <w:pStyle w:val="10"/>
        <w:spacing w:before="47" w:line="360" w:lineRule="auto"/>
        <w:ind w:left="682"/>
        <w:jc w:val="both"/>
        <w:rPr>
          <w:lang w:eastAsia="zh-CN"/>
        </w:rPr>
      </w:pPr>
      <w:r>
        <w:rPr>
          <w:rFonts w:hint="eastAsia"/>
          <w:lang w:eastAsia="zh-CN"/>
        </w:rPr>
        <w:t>A.</w:t>
      </w:r>
      <w:r>
        <w:rPr>
          <w:lang w:eastAsia="zh-CN"/>
        </w:rPr>
        <w:t>依法成立，有自己的名称、组织机构和场所，能够独立承担民事责任。</w:t>
      </w:r>
    </w:p>
    <w:p>
      <w:pPr>
        <w:pStyle w:val="10"/>
        <w:spacing w:before="189" w:line="360" w:lineRule="auto"/>
        <w:ind w:left="682"/>
        <w:jc w:val="both"/>
        <w:rPr>
          <w:lang w:eastAsia="zh-CN"/>
        </w:rPr>
      </w:pPr>
      <w:r>
        <w:rPr>
          <w:rFonts w:hint="eastAsia"/>
          <w:lang w:eastAsia="zh-CN"/>
        </w:rPr>
        <w:t>B.</w:t>
      </w:r>
      <w:r>
        <w:rPr>
          <w:lang w:eastAsia="zh-CN"/>
        </w:rPr>
        <w:t>独立拥有和使用资产、承担负债、有权与其他单位签订合同。</w:t>
      </w:r>
    </w:p>
    <w:p>
      <w:pPr>
        <w:pStyle w:val="10"/>
        <w:spacing w:before="189" w:line="360" w:lineRule="auto"/>
        <w:ind w:left="682"/>
        <w:jc w:val="both"/>
        <w:rPr>
          <w:lang w:eastAsia="zh-CN"/>
        </w:rPr>
      </w:pPr>
      <w:r>
        <w:rPr>
          <w:rFonts w:hint="eastAsia"/>
          <w:lang w:eastAsia="zh-CN"/>
        </w:rPr>
        <w:t>C.</w:t>
      </w:r>
      <w:r>
        <w:rPr>
          <w:lang w:eastAsia="zh-CN"/>
        </w:rPr>
        <w:t>独立核算盈亏，并能够单独编制财务决算报表。</w:t>
      </w:r>
    </w:p>
    <w:p>
      <w:pPr>
        <w:pStyle w:val="8"/>
        <w:spacing w:before="189"/>
        <w:ind w:left="418"/>
        <w:rPr>
          <w:lang w:eastAsia="zh-CN"/>
        </w:rPr>
      </w:pPr>
      <w:r>
        <w:rPr>
          <w:w w:val="95"/>
          <w:lang w:eastAsia="zh-CN"/>
        </w:rPr>
        <w:t>（二）软件统计调查单位有关填报问题的规定</w:t>
      </w:r>
    </w:p>
    <w:p>
      <w:pPr>
        <w:pStyle w:val="10"/>
        <w:spacing w:before="8"/>
        <w:rPr>
          <w:rFonts w:ascii="黑体"/>
          <w:b/>
          <w:sz w:val="15"/>
          <w:lang w:eastAsia="zh-CN"/>
        </w:rPr>
      </w:pPr>
    </w:p>
    <w:p>
      <w:pPr>
        <w:pStyle w:val="10"/>
        <w:spacing w:before="1" w:line="360" w:lineRule="auto"/>
        <w:ind w:left="104" w:right="106" w:firstLine="480"/>
        <w:jc w:val="both"/>
        <w:rPr>
          <w:lang w:eastAsia="zh-CN"/>
        </w:rPr>
      </w:pPr>
      <w:r>
        <w:rPr>
          <w:lang w:eastAsia="zh-CN"/>
        </w:rPr>
        <w:t>由于软件产业在我国是新兴产业，软件统计工作在实际操作时遇到的问题较多，为了保证统计口径一致，现将有关问题明确如下：</w:t>
      </w:r>
    </w:p>
    <w:p>
      <w:pPr>
        <w:pStyle w:val="10"/>
        <w:spacing w:before="47" w:line="360" w:lineRule="auto"/>
        <w:ind w:left="104" w:right="104" w:firstLine="376"/>
        <w:jc w:val="both"/>
        <w:rPr>
          <w:lang w:eastAsia="zh-CN"/>
        </w:rPr>
      </w:pPr>
      <w:r>
        <w:rPr>
          <w:lang w:eastAsia="zh-CN"/>
        </w:rPr>
        <w:t>第一、以是否具有法人资格作为划分独立核算单位的基本条件，凡是分别具有法人资格的企业集团核心企业及各成员单位，以及具有法人资格的集团企业下属单位，都应分别确定为独立核算单位。</w:t>
      </w:r>
    </w:p>
    <w:p>
      <w:pPr>
        <w:pStyle w:val="10"/>
        <w:spacing w:before="47" w:line="360" w:lineRule="auto"/>
        <w:ind w:left="104" w:right="103" w:firstLine="420"/>
        <w:jc w:val="both"/>
        <w:rPr>
          <w:lang w:eastAsia="zh-CN"/>
        </w:rPr>
      </w:pPr>
      <w:r>
        <w:rPr>
          <w:lang w:eastAsia="zh-CN"/>
        </w:rPr>
        <w:t>第二、遵循“统计在地原则”，即企业集团、集团公司在外省的具有法人地位的成员单位或下属企业，均应以独立核算单位按在地原则进行统计；对不具备有法人资格的成员单位或下属单位，应归入集团公司或企业集团内统计。</w:t>
      </w:r>
    </w:p>
    <w:p>
      <w:pPr>
        <w:spacing w:line="420" w:lineRule="auto"/>
        <w:jc w:val="both"/>
        <w:rPr>
          <w:lang w:eastAsia="zh-CN"/>
        </w:rPr>
        <w:sectPr>
          <w:footerReference r:id="rId3" w:type="default"/>
          <w:pgSz w:w="11910" w:h="16840"/>
          <w:pgMar w:top="1260" w:right="1540" w:bottom="1180" w:left="1540" w:header="0" w:footer="993" w:gutter="0"/>
          <w:cols w:space="720" w:num="1"/>
        </w:sectPr>
      </w:pPr>
    </w:p>
    <w:p>
      <w:pPr>
        <w:pStyle w:val="2"/>
        <w:jc w:val="center"/>
        <w:rPr>
          <w:rFonts w:ascii="黑体" w:eastAsia="黑体"/>
          <w:b w:val="0"/>
          <w:w w:val="95"/>
          <w:sz w:val="32"/>
          <w:lang w:eastAsia="zh-CN"/>
        </w:rPr>
      </w:pPr>
      <w:bookmarkStart w:id="12" w:name="_Toc526955662"/>
      <w:bookmarkStart w:id="13" w:name="_Toc19470"/>
      <w:r>
        <w:rPr>
          <w:rFonts w:hint="eastAsia" w:ascii="黑体" w:eastAsia="黑体"/>
          <w:b w:val="0"/>
          <w:w w:val="95"/>
          <w:sz w:val="32"/>
          <w:lang w:eastAsia="zh-CN"/>
        </w:rPr>
        <w:t>应用嵌入式系统软件的产品目录及计算方法</w:t>
      </w:r>
      <w:bookmarkEnd w:id="12"/>
      <w:bookmarkEnd w:id="13"/>
    </w:p>
    <w:tbl>
      <w:tblPr>
        <w:tblStyle w:val="18"/>
        <w:tblW w:w="94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7"/>
        <w:gridCol w:w="812"/>
        <w:gridCol w:w="2900"/>
        <w:gridCol w:w="2975"/>
        <w:gridCol w:w="1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47" w:type="dxa"/>
            <w:tcBorders>
              <w:top w:val="single" w:color="auto" w:sz="8" w:space="0"/>
              <w:left w:val="nil"/>
              <w:bottom w:val="single" w:color="auto" w:sz="8" w:space="0"/>
            </w:tcBorders>
            <w:vAlign w:val="center"/>
          </w:tcPr>
          <w:p>
            <w:pPr>
              <w:spacing w:line="480" w:lineRule="exact"/>
              <w:jc w:val="center"/>
              <w:rPr>
                <w:rFonts w:ascii="黑体" w:eastAsia="黑体"/>
                <w:b/>
                <w:szCs w:val="21"/>
                <w:lang w:eastAsia="zh-CN"/>
              </w:rPr>
            </w:pPr>
            <w:r>
              <w:rPr>
                <w:rFonts w:hint="eastAsia" w:ascii="黑体" w:eastAsia="黑体"/>
                <w:b/>
                <w:szCs w:val="21"/>
                <w:lang w:eastAsia="zh-CN"/>
              </w:rPr>
              <w:t>代码</w:t>
            </w:r>
          </w:p>
        </w:tc>
        <w:tc>
          <w:tcPr>
            <w:tcW w:w="812" w:type="dxa"/>
            <w:tcBorders>
              <w:top w:val="single" w:color="auto" w:sz="8" w:space="0"/>
              <w:left w:val="nil"/>
              <w:bottom w:val="single" w:color="auto" w:sz="8" w:space="0"/>
            </w:tcBorders>
            <w:vAlign w:val="center"/>
          </w:tcPr>
          <w:p>
            <w:pPr>
              <w:spacing w:line="480" w:lineRule="exact"/>
              <w:jc w:val="center"/>
              <w:rPr>
                <w:rFonts w:ascii="黑体" w:eastAsia="黑体"/>
                <w:b/>
                <w:szCs w:val="21"/>
                <w:lang w:eastAsia="zh-CN"/>
              </w:rPr>
            </w:pPr>
            <w:r>
              <w:rPr>
                <w:rFonts w:hint="eastAsia" w:ascii="黑体" w:eastAsia="黑体"/>
                <w:b/>
                <w:szCs w:val="21"/>
                <w:lang w:eastAsia="zh-CN"/>
              </w:rPr>
              <w:t>标识</w:t>
            </w:r>
          </w:p>
        </w:tc>
        <w:tc>
          <w:tcPr>
            <w:tcW w:w="2900" w:type="dxa"/>
            <w:tcBorders>
              <w:top w:val="single" w:color="auto" w:sz="8" w:space="0"/>
              <w:left w:val="nil"/>
              <w:bottom w:val="single" w:color="auto" w:sz="8" w:space="0"/>
            </w:tcBorders>
            <w:vAlign w:val="center"/>
          </w:tcPr>
          <w:p>
            <w:pPr>
              <w:spacing w:line="480" w:lineRule="exact"/>
              <w:jc w:val="center"/>
              <w:rPr>
                <w:rFonts w:ascii="黑体" w:eastAsia="黑体"/>
                <w:b/>
                <w:szCs w:val="21"/>
              </w:rPr>
            </w:pPr>
            <w:r>
              <w:rPr>
                <w:rFonts w:hint="eastAsia" w:ascii="黑体" w:eastAsia="黑体"/>
                <w:b/>
                <w:szCs w:val="21"/>
                <w:lang w:eastAsia="zh-CN"/>
              </w:rPr>
              <w:t>产品</w:t>
            </w:r>
            <w:r>
              <w:rPr>
                <w:rFonts w:hint="eastAsia" w:ascii="黑体" w:eastAsia="黑体"/>
                <w:b/>
                <w:szCs w:val="21"/>
              </w:rPr>
              <w:t xml:space="preserve"> 目 录</w:t>
            </w:r>
          </w:p>
        </w:tc>
        <w:tc>
          <w:tcPr>
            <w:tcW w:w="2975" w:type="dxa"/>
            <w:tcBorders>
              <w:top w:val="single" w:color="auto" w:sz="8" w:space="0"/>
              <w:right w:val="nil"/>
            </w:tcBorders>
            <w:vAlign w:val="center"/>
          </w:tcPr>
          <w:p>
            <w:pPr>
              <w:spacing w:line="480" w:lineRule="exact"/>
              <w:jc w:val="center"/>
              <w:rPr>
                <w:rFonts w:ascii="黑体" w:eastAsia="黑体"/>
                <w:b/>
                <w:szCs w:val="21"/>
              </w:rPr>
            </w:pPr>
            <w:r>
              <w:rPr>
                <w:rFonts w:hint="eastAsia" w:ascii="黑体" w:eastAsia="黑体"/>
                <w:b/>
                <w:szCs w:val="21"/>
              </w:rPr>
              <w:t>说    明</w:t>
            </w:r>
          </w:p>
        </w:tc>
        <w:tc>
          <w:tcPr>
            <w:tcW w:w="1191" w:type="dxa"/>
            <w:tcBorders>
              <w:top w:val="single" w:color="auto" w:sz="8" w:space="0"/>
              <w:right w:val="nil"/>
            </w:tcBorders>
            <w:vAlign w:val="center"/>
          </w:tcPr>
          <w:p>
            <w:pPr>
              <w:spacing w:line="480" w:lineRule="exact"/>
              <w:jc w:val="center"/>
              <w:rPr>
                <w:rFonts w:ascii="黑体" w:eastAsia="黑体"/>
                <w:b/>
                <w:szCs w:val="21"/>
                <w:lang w:eastAsia="zh-CN"/>
              </w:rPr>
            </w:pPr>
            <w:r>
              <w:rPr>
                <w:rFonts w:hint="eastAsia" w:ascii="黑体" w:eastAsia="黑体"/>
                <w:b/>
                <w:szCs w:val="21"/>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tcBorders>
            <w:vAlign w:val="center"/>
          </w:tcPr>
          <w:p>
            <w:pPr>
              <w:spacing w:line="480" w:lineRule="exact"/>
              <w:rPr>
                <w:rFonts w:ascii="黑体" w:eastAsia="黑体"/>
                <w:b/>
                <w:szCs w:val="21"/>
                <w:lang w:eastAsia="zh-CN"/>
              </w:rPr>
            </w:pPr>
            <w:r>
              <w:rPr>
                <w:rFonts w:hint="eastAsia"/>
                <w:b/>
                <w:szCs w:val="21"/>
              </w:rPr>
              <w:t>E</w:t>
            </w:r>
            <w:r>
              <w:rPr>
                <w:rFonts w:hint="eastAsia"/>
                <w:b/>
                <w:szCs w:val="21"/>
                <w:lang w:eastAsia="zh-CN"/>
              </w:rPr>
              <w:t>4</w:t>
            </w:r>
            <w:r>
              <w:rPr>
                <w:rFonts w:hint="eastAsia"/>
                <w:b/>
                <w:szCs w:val="21"/>
              </w:rPr>
              <w:t>0</w:t>
            </w:r>
            <w:r>
              <w:rPr>
                <w:rFonts w:hint="eastAsia"/>
                <w:b/>
                <w:szCs w:val="21"/>
                <w:lang w:eastAsia="zh-CN"/>
              </w:rPr>
              <w:t>1</w:t>
            </w:r>
            <w:r>
              <w:rPr>
                <w:rFonts w:hint="eastAsia"/>
                <w:b/>
                <w:szCs w:val="21"/>
              </w:rPr>
              <w:t>000000</w:t>
            </w:r>
          </w:p>
        </w:tc>
        <w:tc>
          <w:tcPr>
            <w:tcW w:w="812" w:type="dxa"/>
            <w:tcBorders>
              <w:top w:val="single" w:color="auto" w:sz="8" w:space="0"/>
              <w:left w:val="nil"/>
              <w:bottom w:val="single" w:color="auto" w:sz="8" w:space="0"/>
            </w:tcBorders>
            <w:vAlign w:val="center"/>
          </w:tcPr>
          <w:p>
            <w:pPr>
              <w:spacing w:line="480" w:lineRule="exact"/>
              <w:rPr>
                <w:rFonts w:ascii="黑体" w:eastAsia="黑体"/>
                <w:b/>
                <w:szCs w:val="21"/>
                <w:lang w:eastAsia="zh-CN"/>
              </w:rPr>
            </w:pPr>
          </w:p>
        </w:tc>
        <w:tc>
          <w:tcPr>
            <w:tcW w:w="2900" w:type="dxa"/>
            <w:tcBorders>
              <w:top w:val="single" w:color="auto" w:sz="8" w:space="0"/>
              <w:left w:val="nil"/>
              <w:bottom w:val="single" w:color="auto" w:sz="8" w:space="0"/>
            </w:tcBorders>
            <w:vAlign w:val="center"/>
          </w:tcPr>
          <w:p>
            <w:pPr>
              <w:spacing w:line="480" w:lineRule="exact"/>
              <w:rPr>
                <w:rFonts w:ascii="黑体" w:eastAsia="黑体"/>
                <w:b/>
                <w:szCs w:val="21"/>
              </w:rPr>
            </w:pPr>
            <w:r>
              <w:rPr>
                <w:rFonts w:hint="eastAsia" w:ascii="黑体" w:eastAsia="黑体"/>
                <w:b/>
                <w:szCs w:val="21"/>
                <w:lang w:eastAsia="zh-CN"/>
              </w:rPr>
              <w:t>4.嵌入式系统软件合计</w:t>
            </w:r>
          </w:p>
        </w:tc>
        <w:tc>
          <w:tcPr>
            <w:tcW w:w="2975" w:type="dxa"/>
            <w:tcBorders>
              <w:top w:val="single" w:color="auto" w:sz="8" w:space="0"/>
              <w:right w:val="nil"/>
            </w:tcBorders>
            <w:vAlign w:val="center"/>
          </w:tcPr>
          <w:p>
            <w:pPr>
              <w:spacing w:line="480" w:lineRule="exact"/>
              <w:rPr>
                <w:rFonts w:ascii="黑体" w:eastAsia="黑体"/>
                <w:b/>
                <w:szCs w:val="21"/>
              </w:rPr>
            </w:pPr>
          </w:p>
        </w:tc>
        <w:tc>
          <w:tcPr>
            <w:tcW w:w="1191" w:type="dxa"/>
            <w:tcBorders>
              <w:top w:val="single" w:color="auto" w:sz="8" w:space="0"/>
              <w:right w:val="nil"/>
            </w:tcBorders>
            <w:vAlign w:val="center"/>
          </w:tcPr>
          <w:p>
            <w:pPr>
              <w:spacing w:line="480" w:lineRule="exact"/>
              <w:rPr>
                <w:rFonts w:ascii="黑体" w:eastAsia="黑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tcBorders>
            <w:vAlign w:val="center"/>
          </w:tcPr>
          <w:p>
            <w:pPr>
              <w:rPr>
                <w:rFonts w:ascii="黑体" w:eastAsia="黑体"/>
                <w:b/>
                <w:szCs w:val="21"/>
              </w:rPr>
            </w:pPr>
            <w:r>
              <w:rPr>
                <w:rFonts w:hint="eastAsia"/>
                <w:b/>
                <w:szCs w:val="21"/>
              </w:rPr>
              <w:t>E</w:t>
            </w:r>
            <w:r>
              <w:rPr>
                <w:rFonts w:hint="eastAsia"/>
                <w:b/>
                <w:szCs w:val="21"/>
                <w:lang w:eastAsia="zh-CN"/>
              </w:rPr>
              <w:t>4</w:t>
            </w:r>
            <w:r>
              <w:rPr>
                <w:rFonts w:hint="eastAsia"/>
                <w:b/>
                <w:szCs w:val="21"/>
              </w:rPr>
              <w:t>0</w:t>
            </w:r>
            <w:r>
              <w:rPr>
                <w:rFonts w:hint="eastAsia"/>
                <w:b/>
                <w:szCs w:val="21"/>
                <w:lang w:eastAsia="zh-CN"/>
              </w:rPr>
              <w:t>1</w:t>
            </w:r>
            <w:r>
              <w:rPr>
                <w:rFonts w:hint="eastAsia"/>
                <w:b/>
                <w:szCs w:val="21"/>
              </w:rPr>
              <w:t>0</w:t>
            </w:r>
            <w:r>
              <w:rPr>
                <w:rFonts w:hint="eastAsia"/>
                <w:b/>
                <w:szCs w:val="21"/>
                <w:lang w:eastAsia="zh-CN"/>
              </w:rPr>
              <w:t>1</w:t>
            </w:r>
            <w:r>
              <w:rPr>
                <w:rFonts w:hint="eastAsia"/>
                <w:b/>
                <w:szCs w:val="21"/>
              </w:rPr>
              <w:t>0000</w:t>
            </w:r>
          </w:p>
        </w:tc>
        <w:tc>
          <w:tcPr>
            <w:tcW w:w="812" w:type="dxa"/>
            <w:tcBorders>
              <w:top w:val="single" w:color="auto" w:sz="8" w:space="0"/>
              <w:left w:val="nil"/>
              <w:bottom w:val="single" w:color="auto" w:sz="8" w:space="0"/>
            </w:tcBorders>
            <w:vAlign w:val="center"/>
          </w:tcPr>
          <w:p>
            <w:pPr>
              <w:rPr>
                <w:rFonts w:ascii="黑体" w:eastAsia="黑体"/>
                <w:b/>
                <w:szCs w:val="21"/>
              </w:rPr>
            </w:pPr>
          </w:p>
        </w:tc>
        <w:tc>
          <w:tcPr>
            <w:tcW w:w="2900" w:type="dxa"/>
            <w:tcBorders>
              <w:top w:val="single" w:color="auto" w:sz="8" w:space="0"/>
              <w:left w:val="nil"/>
              <w:bottom w:val="single" w:color="auto" w:sz="8" w:space="0"/>
            </w:tcBorders>
            <w:vAlign w:val="center"/>
          </w:tcPr>
          <w:p>
            <w:pPr>
              <w:rPr>
                <w:rFonts w:ascii="黑体" w:eastAsia="黑体"/>
                <w:b/>
                <w:szCs w:val="21"/>
              </w:rPr>
            </w:pPr>
            <w:r>
              <w:rPr>
                <w:rFonts w:hint="eastAsia" w:ascii="黑体" w:eastAsia="黑体"/>
                <w:b/>
                <w:szCs w:val="21"/>
                <w:lang w:eastAsia="zh-CN"/>
              </w:rPr>
              <w:t>4.1</w:t>
            </w:r>
            <w:r>
              <w:rPr>
                <w:rFonts w:hint="eastAsia" w:ascii="黑体" w:eastAsia="黑体"/>
                <w:b/>
                <w:szCs w:val="21"/>
              </w:rPr>
              <w:t>通信设备</w:t>
            </w:r>
          </w:p>
        </w:tc>
        <w:tc>
          <w:tcPr>
            <w:tcW w:w="2975" w:type="dxa"/>
            <w:tcBorders>
              <w:top w:val="single" w:color="auto" w:sz="8" w:space="0"/>
              <w:right w:val="nil"/>
            </w:tcBorders>
            <w:vAlign w:val="center"/>
          </w:tcPr>
          <w:p>
            <w:pPr>
              <w:rPr>
                <w:rFonts w:ascii="黑体" w:eastAsia="黑体"/>
                <w:szCs w:val="21"/>
              </w:rPr>
            </w:pPr>
          </w:p>
        </w:tc>
        <w:tc>
          <w:tcPr>
            <w:tcW w:w="1191" w:type="dxa"/>
            <w:tcBorders>
              <w:top w:val="single" w:color="auto" w:sz="8" w:space="0"/>
              <w:right w:val="nil"/>
            </w:tcBorders>
            <w:vAlign w:val="center"/>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47" w:type="dxa"/>
            <w:tcBorders>
              <w:top w:val="single" w:color="auto" w:sz="8" w:space="0"/>
              <w:left w:val="nil"/>
              <w:bottom w:val="single" w:color="auto" w:sz="8" w:space="0"/>
            </w:tcBorders>
            <w:vAlign w:val="center"/>
          </w:tcPr>
          <w:p>
            <w:pPr>
              <w:rPr>
                <w:rFonts w:ascii="黑体" w:eastAsia="黑体"/>
                <w:bCs/>
                <w:szCs w:val="21"/>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1</w:t>
            </w:r>
            <w:r>
              <w:rPr>
                <w:rFonts w:hint="eastAsia"/>
                <w:bCs/>
                <w:szCs w:val="21"/>
              </w:rPr>
              <w:t>00</w:t>
            </w:r>
          </w:p>
        </w:tc>
        <w:tc>
          <w:tcPr>
            <w:tcW w:w="812" w:type="dxa"/>
            <w:tcBorders>
              <w:top w:val="single" w:color="auto" w:sz="8" w:space="0"/>
              <w:left w:val="nil"/>
              <w:bottom w:val="single" w:color="auto" w:sz="8" w:space="0"/>
            </w:tcBorders>
            <w:vAlign w:val="center"/>
          </w:tcPr>
          <w:p>
            <w:pPr>
              <w:rPr>
                <w:rFonts w:ascii="黑体" w:eastAsia="黑体"/>
                <w:szCs w:val="21"/>
              </w:rPr>
            </w:pPr>
          </w:p>
        </w:tc>
        <w:tc>
          <w:tcPr>
            <w:tcW w:w="2900" w:type="dxa"/>
            <w:tcBorders>
              <w:top w:val="single" w:color="auto" w:sz="8" w:space="0"/>
              <w:left w:val="nil"/>
              <w:bottom w:val="single" w:color="auto" w:sz="8" w:space="0"/>
            </w:tcBorders>
            <w:vAlign w:val="center"/>
          </w:tcPr>
          <w:p>
            <w:pPr>
              <w:rPr>
                <w:rFonts w:ascii="黑体" w:eastAsia="黑体"/>
                <w:szCs w:val="21"/>
              </w:rPr>
            </w:pPr>
            <w:r>
              <w:rPr>
                <w:rFonts w:hint="eastAsia" w:ascii="黑体" w:eastAsia="黑体"/>
                <w:szCs w:val="21"/>
                <w:lang w:eastAsia="zh-CN"/>
              </w:rPr>
              <w:t xml:space="preserve">4.1.1 </w:t>
            </w:r>
            <w:r>
              <w:rPr>
                <w:rFonts w:hint="eastAsia" w:ascii="黑体" w:eastAsia="黑体"/>
                <w:szCs w:val="21"/>
              </w:rPr>
              <w:t>通信传输设备</w:t>
            </w:r>
          </w:p>
        </w:tc>
        <w:tc>
          <w:tcPr>
            <w:tcW w:w="2975" w:type="dxa"/>
            <w:tcBorders>
              <w:right w:val="nil"/>
            </w:tcBorders>
            <w:vAlign w:val="center"/>
          </w:tcPr>
          <w:p>
            <w:pPr>
              <w:rPr>
                <w:szCs w:val="21"/>
                <w:lang w:eastAsia="zh-CN"/>
              </w:rPr>
            </w:pPr>
            <w:r>
              <w:rPr>
                <w:rFonts w:hint="eastAsia"/>
                <w:szCs w:val="21"/>
                <w:lang w:eastAsia="zh-CN"/>
              </w:rPr>
              <w:t>指有线或无线通信传输设备</w:t>
            </w:r>
          </w:p>
        </w:tc>
        <w:tc>
          <w:tcPr>
            <w:tcW w:w="1191" w:type="dxa"/>
            <w:tcBorders>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tcBorders>
            <w:vAlign w:val="center"/>
          </w:tcPr>
          <w:p>
            <w:pPr>
              <w:rPr>
                <w:rFonts w:ascii="黑体"/>
                <w:bCs/>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1</w:t>
            </w:r>
          </w:p>
        </w:tc>
        <w:tc>
          <w:tcPr>
            <w:tcW w:w="812" w:type="dxa"/>
            <w:tcBorders>
              <w:top w:val="single" w:color="auto" w:sz="8" w:space="0"/>
              <w:left w:val="nil"/>
              <w:bottom w:val="single" w:color="auto" w:sz="8" w:space="0"/>
            </w:tcBorders>
            <w:vAlign w:val="center"/>
          </w:tcPr>
          <w:p>
            <w:pPr>
              <w:rPr>
                <w:rFonts w:ascii="黑体" w:eastAsia="黑体"/>
                <w:szCs w:val="21"/>
                <w:lang w:eastAsia="zh-CN"/>
              </w:rPr>
            </w:pPr>
            <w:r>
              <w:rPr>
                <w:rFonts w:hint="eastAsia" w:ascii="黑体" w:eastAsia="黑体"/>
                <w:szCs w:val="21"/>
                <w:lang w:eastAsia="zh-CN"/>
              </w:rPr>
              <w:t>录入</w:t>
            </w:r>
          </w:p>
        </w:tc>
        <w:tc>
          <w:tcPr>
            <w:tcW w:w="2900" w:type="dxa"/>
            <w:tcBorders>
              <w:top w:val="single" w:color="auto" w:sz="8" w:space="0"/>
              <w:left w:val="nil"/>
              <w:bottom w:val="single" w:color="auto" w:sz="8" w:space="0"/>
            </w:tcBorders>
            <w:vAlign w:val="center"/>
          </w:tcPr>
          <w:p>
            <w:pPr>
              <w:rPr>
                <w:rFonts w:ascii="黑体" w:eastAsia="黑体"/>
                <w:szCs w:val="21"/>
              </w:rPr>
            </w:pPr>
            <w:r>
              <w:rPr>
                <w:rFonts w:hint="eastAsia" w:ascii="黑体" w:eastAsia="黑体"/>
                <w:szCs w:val="21"/>
                <w:lang w:eastAsia="zh-CN"/>
              </w:rPr>
              <w:t xml:space="preserve">4.1.1.1 </w:t>
            </w:r>
            <w:r>
              <w:rPr>
                <w:rFonts w:hint="eastAsia" w:ascii="黑体" w:eastAsia="黑体"/>
                <w:szCs w:val="21"/>
              </w:rPr>
              <w:t>光通信设备</w:t>
            </w:r>
          </w:p>
        </w:tc>
        <w:tc>
          <w:tcPr>
            <w:tcW w:w="2975" w:type="dxa"/>
            <w:tcBorders>
              <w:right w:val="nil"/>
            </w:tcBorders>
            <w:vAlign w:val="center"/>
          </w:tcPr>
          <w:p>
            <w:pPr>
              <w:rPr>
                <w:szCs w:val="21"/>
                <w:lang w:eastAsia="zh-CN"/>
              </w:rPr>
            </w:pPr>
            <w:r>
              <w:rPr>
                <w:rFonts w:hint="eastAsia"/>
                <w:szCs w:val="21"/>
                <w:lang w:eastAsia="zh-CN"/>
              </w:rPr>
              <w:t xml:space="preserve">包含：光端机（SDH光端机、PDH光端机、SPDH光端机）、光缆中继设备、多业务传送设备（MSTP）； </w:t>
            </w:r>
            <w:r>
              <w:rPr>
                <w:rFonts w:hint="eastAsia"/>
                <w:szCs w:val="21"/>
                <w:lang w:eastAsia="zh-CN"/>
              </w:rPr>
              <w:br w:type="textWrapping"/>
            </w:r>
            <w:r>
              <w:rPr>
                <w:rFonts w:hint="eastAsia"/>
                <w:szCs w:val="21"/>
                <w:lang w:eastAsia="zh-CN"/>
              </w:rPr>
              <w:t>不包含：光纤放大器、波分复用器、光交叉联接设备、光分插复用设备（ADM）、电光转换器、无源光分路器等</w:t>
            </w:r>
          </w:p>
        </w:tc>
        <w:tc>
          <w:tcPr>
            <w:tcW w:w="1191" w:type="dxa"/>
            <w:tcBorders>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tcBorders>
            <w:vAlign w:val="center"/>
          </w:tcPr>
          <w:p>
            <w:pPr>
              <w:rPr>
                <w:rFonts w:ascii="黑体"/>
                <w:bCs/>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2</w:t>
            </w:r>
          </w:p>
        </w:tc>
        <w:tc>
          <w:tcPr>
            <w:tcW w:w="812" w:type="dxa"/>
            <w:tcBorders>
              <w:top w:val="single" w:color="auto" w:sz="8" w:space="0"/>
              <w:left w:val="nil"/>
              <w:bottom w:val="single" w:color="auto" w:sz="8" w:space="0"/>
            </w:tcBorders>
            <w:vAlign w:val="center"/>
          </w:tcPr>
          <w:p>
            <w:pPr>
              <w:rPr>
                <w:rFonts w:ascii="黑体" w:eastAsia="黑体"/>
                <w:szCs w:val="21"/>
              </w:rPr>
            </w:pPr>
            <w:r>
              <w:rPr>
                <w:rFonts w:hint="eastAsia" w:ascii="黑体" w:eastAsia="黑体"/>
                <w:szCs w:val="21"/>
                <w:lang w:eastAsia="zh-CN"/>
              </w:rPr>
              <w:t>录入</w:t>
            </w:r>
          </w:p>
        </w:tc>
        <w:tc>
          <w:tcPr>
            <w:tcW w:w="2900" w:type="dxa"/>
            <w:tcBorders>
              <w:top w:val="single" w:color="auto" w:sz="8" w:space="0"/>
              <w:left w:val="nil"/>
              <w:bottom w:val="single" w:color="auto" w:sz="8" w:space="0"/>
            </w:tcBorders>
            <w:vAlign w:val="center"/>
          </w:tcPr>
          <w:p>
            <w:pPr>
              <w:rPr>
                <w:rFonts w:ascii="黑体" w:eastAsia="黑体"/>
                <w:szCs w:val="21"/>
              </w:rPr>
            </w:pPr>
            <w:r>
              <w:rPr>
                <w:rFonts w:hint="eastAsia" w:ascii="黑体" w:eastAsia="黑体"/>
                <w:szCs w:val="21"/>
                <w:lang w:eastAsia="zh-CN"/>
              </w:rPr>
              <w:t xml:space="preserve">4.1.1.2 </w:t>
            </w:r>
            <w:r>
              <w:rPr>
                <w:rFonts w:hint="eastAsia" w:ascii="黑体" w:eastAsia="黑体"/>
                <w:szCs w:val="21"/>
              </w:rPr>
              <w:t>卫星通信设备</w:t>
            </w:r>
          </w:p>
        </w:tc>
        <w:tc>
          <w:tcPr>
            <w:tcW w:w="2975" w:type="dxa"/>
            <w:tcBorders>
              <w:right w:val="nil"/>
            </w:tcBorders>
            <w:vAlign w:val="center"/>
          </w:tcPr>
          <w:p>
            <w:pPr>
              <w:rPr>
                <w:szCs w:val="21"/>
                <w:lang w:eastAsia="zh-CN"/>
              </w:rPr>
            </w:pPr>
            <w:r>
              <w:rPr>
                <w:rFonts w:hint="eastAsia"/>
                <w:szCs w:val="21"/>
                <w:lang w:eastAsia="zh-CN"/>
              </w:rPr>
              <w:t xml:space="preserve">包含：卫星地面接收机、卫星导航设备、卫星通信地面站终端机、甚小型天线地球站（VSAT）； </w:t>
            </w:r>
            <w:r>
              <w:rPr>
                <w:rFonts w:hint="eastAsia"/>
                <w:szCs w:val="21"/>
                <w:lang w:eastAsia="zh-CN"/>
              </w:rPr>
              <w:br w:type="textWrapping"/>
            </w:r>
            <w:r>
              <w:rPr>
                <w:rFonts w:hint="eastAsia"/>
                <w:szCs w:val="21"/>
                <w:lang w:eastAsia="zh-CN"/>
              </w:rPr>
              <w:t>不包含：卫星接收天线、GPS天线、卫星地面站零部件；GPS接收机改成卫星导航设备</w:t>
            </w:r>
          </w:p>
        </w:tc>
        <w:tc>
          <w:tcPr>
            <w:tcW w:w="1191" w:type="dxa"/>
            <w:tcBorders>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tcBorders>
            <w:vAlign w:val="center"/>
          </w:tcPr>
          <w:p>
            <w:pPr>
              <w:rPr>
                <w:rFonts w:ascii="黑体"/>
                <w:bCs/>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3</w:t>
            </w:r>
          </w:p>
        </w:tc>
        <w:tc>
          <w:tcPr>
            <w:tcW w:w="812" w:type="dxa"/>
            <w:tcBorders>
              <w:top w:val="single" w:color="auto" w:sz="8" w:space="0"/>
              <w:left w:val="nil"/>
              <w:bottom w:val="single" w:color="auto" w:sz="8" w:space="0"/>
            </w:tcBorders>
            <w:vAlign w:val="center"/>
          </w:tcPr>
          <w:p>
            <w:pPr>
              <w:rPr>
                <w:rFonts w:ascii="黑体" w:eastAsia="黑体"/>
                <w:szCs w:val="21"/>
              </w:rPr>
            </w:pPr>
            <w:r>
              <w:rPr>
                <w:rFonts w:hint="eastAsia" w:ascii="黑体" w:eastAsia="黑体"/>
                <w:szCs w:val="21"/>
                <w:lang w:eastAsia="zh-CN"/>
              </w:rPr>
              <w:t>录入</w:t>
            </w:r>
          </w:p>
        </w:tc>
        <w:tc>
          <w:tcPr>
            <w:tcW w:w="2900" w:type="dxa"/>
            <w:tcBorders>
              <w:top w:val="single" w:color="auto" w:sz="8" w:space="0"/>
              <w:left w:val="nil"/>
              <w:bottom w:val="single" w:color="auto" w:sz="8" w:space="0"/>
            </w:tcBorders>
            <w:vAlign w:val="center"/>
          </w:tcPr>
          <w:p>
            <w:pPr>
              <w:rPr>
                <w:rFonts w:ascii="黑体" w:eastAsia="黑体"/>
                <w:szCs w:val="21"/>
              </w:rPr>
            </w:pPr>
            <w:r>
              <w:rPr>
                <w:rFonts w:hint="eastAsia" w:ascii="黑体" w:eastAsia="黑体"/>
                <w:szCs w:val="21"/>
                <w:lang w:eastAsia="zh-CN"/>
              </w:rPr>
              <w:t xml:space="preserve">4.1.1.3 </w:t>
            </w:r>
            <w:r>
              <w:rPr>
                <w:rFonts w:hint="eastAsia" w:ascii="黑体" w:eastAsia="黑体"/>
                <w:szCs w:val="21"/>
              </w:rPr>
              <w:t>无线通信设备</w:t>
            </w:r>
          </w:p>
        </w:tc>
        <w:tc>
          <w:tcPr>
            <w:tcW w:w="2975" w:type="dxa"/>
            <w:tcBorders>
              <w:right w:val="nil"/>
            </w:tcBorders>
            <w:vAlign w:val="center"/>
          </w:tcPr>
          <w:p>
            <w:pPr>
              <w:rPr>
                <w:szCs w:val="21"/>
                <w:lang w:eastAsia="zh-CN"/>
              </w:rPr>
            </w:pPr>
            <w:r>
              <w:rPr>
                <w:rFonts w:hint="eastAsia"/>
                <w:szCs w:val="21"/>
                <w:lang w:eastAsia="zh-CN"/>
              </w:rPr>
              <w:t>包含：除移动通信外的微波通信设备、散射通信设备、雷达导航设备、WiMAX设备；</w:t>
            </w:r>
            <w:r>
              <w:rPr>
                <w:rFonts w:hint="eastAsia"/>
                <w:szCs w:val="21"/>
                <w:lang w:eastAsia="zh-CN"/>
              </w:rPr>
              <w:br w:type="textWrapping"/>
            </w:r>
            <w:r>
              <w:rPr>
                <w:rFonts w:hint="eastAsia"/>
                <w:szCs w:val="21"/>
                <w:lang w:eastAsia="zh-CN"/>
              </w:rPr>
              <w:t>不包含：微波天线、馈线、散射通信天线、微波终端机、散射通信终端机</w:t>
            </w:r>
          </w:p>
        </w:tc>
        <w:tc>
          <w:tcPr>
            <w:tcW w:w="1191" w:type="dxa"/>
            <w:tcBorders>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47" w:type="dxa"/>
            <w:tcBorders>
              <w:top w:val="single" w:color="auto" w:sz="8" w:space="0"/>
              <w:left w:val="nil"/>
              <w:bottom w:val="single" w:color="auto" w:sz="8" w:space="0"/>
            </w:tcBorders>
            <w:vAlign w:val="center"/>
          </w:tcPr>
          <w:p>
            <w:pPr>
              <w:rPr>
                <w:rFonts w:ascii="黑体" w:eastAsia="黑体"/>
                <w:szCs w:val="21"/>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2</w:t>
            </w:r>
            <w:r>
              <w:rPr>
                <w:rFonts w:hint="eastAsia"/>
                <w:bCs/>
                <w:szCs w:val="21"/>
              </w:rPr>
              <w:t>00</w:t>
            </w:r>
          </w:p>
        </w:tc>
        <w:tc>
          <w:tcPr>
            <w:tcW w:w="812" w:type="dxa"/>
            <w:tcBorders>
              <w:top w:val="single" w:color="auto" w:sz="8" w:space="0"/>
              <w:left w:val="nil"/>
              <w:bottom w:val="single" w:color="auto" w:sz="8" w:space="0"/>
            </w:tcBorders>
            <w:vAlign w:val="center"/>
          </w:tcPr>
          <w:p>
            <w:pPr>
              <w:rPr>
                <w:rFonts w:ascii="黑体" w:eastAsia="黑体"/>
                <w:szCs w:val="21"/>
              </w:rPr>
            </w:pPr>
          </w:p>
        </w:tc>
        <w:tc>
          <w:tcPr>
            <w:tcW w:w="2900" w:type="dxa"/>
            <w:tcBorders>
              <w:top w:val="single" w:color="auto" w:sz="8" w:space="0"/>
              <w:left w:val="nil"/>
              <w:bottom w:val="single" w:color="auto" w:sz="8" w:space="0"/>
            </w:tcBorders>
            <w:vAlign w:val="center"/>
          </w:tcPr>
          <w:p>
            <w:pPr>
              <w:rPr>
                <w:rFonts w:ascii="黑体" w:eastAsia="黑体"/>
                <w:szCs w:val="21"/>
              </w:rPr>
            </w:pPr>
            <w:r>
              <w:rPr>
                <w:rFonts w:hint="eastAsia" w:ascii="黑体" w:eastAsia="黑体"/>
                <w:szCs w:val="21"/>
                <w:lang w:eastAsia="zh-CN"/>
              </w:rPr>
              <w:t xml:space="preserve">4.1.2 </w:t>
            </w:r>
            <w:r>
              <w:rPr>
                <w:rFonts w:hint="eastAsia" w:ascii="黑体" w:eastAsia="黑体"/>
                <w:szCs w:val="21"/>
              </w:rPr>
              <w:t>通信交换设备</w:t>
            </w:r>
          </w:p>
        </w:tc>
        <w:tc>
          <w:tcPr>
            <w:tcW w:w="2975" w:type="dxa"/>
            <w:tcBorders>
              <w:right w:val="nil"/>
            </w:tcBorders>
            <w:vAlign w:val="center"/>
          </w:tcPr>
          <w:p>
            <w:pPr>
              <w:rPr>
                <w:szCs w:val="21"/>
                <w:lang w:eastAsia="zh-CN"/>
              </w:rPr>
            </w:pPr>
            <w:r>
              <w:rPr>
                <w:rFonts w:hint="eastAsia"/>
                <w:szCs w:val="21"/>
                <w:lang w:eastAsia="zh-CN"/>
              </w:rPr>
              <w:t>不包含：ATM交换机、七号信令转接设备等</w:t>
            </w:r>
          </w:p>
        </w:tc>
        <w:tc>
          <w:tcPr>
            <w:tcW w:w="1191" w:type="dxa"/>
            <w:tcBorders>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tcBorders>
            <w:vAlign w:val="center"/>
          </w:tcPr>
          <w:p>
            <w:pPr>
              <w:rPr>
                <w:rFonts w:ascii="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2</w:t>
            </w:r>
            <w:r>
              <w:rPr>
                <w:rFonts w:hint="eastAsia"/>
                <w:bCs/>
                <w:szCs w:val="21"/>
              </w:rPr>
              <w:t>0</w:t>
            </w:r>
            <w:r>
              <w:rPr>
                <w:rFonts w:hint="eastAsia"/>
                <w:bCs/>
                <w:szCs w:val="21"/>
                <w:lang w:eastAsia="zh-CN"/>
              </w:rPr>
              <w:t>1</w:t>
            </w:r>
          </w:p>
        </w:tc>
        <w:tc>
          <w:tcPr>
            <w:tcW w:w="812" w:type="dxa"/>
            <w:tcBorders>
              <w:top w:val="single" w:color="auto" w:sz="8" w:space="0"/>
              <w:left w:val="nil"/>
              <w:bottom w:val="single" w:color="auto" w:sz="8" w:space="0"/>
            </w:tcBorders>
            <w:vAlign w:val="center"/>
          </w:tcPr>
          <w:p>
            <w:pPr>
              <w:rPr>
                <w:rFonts w:ascii="黑体" w:eastAsia="黑体"/>
                <w:szCs w:val="21"/>
              </w:rPr>
            </w:pPr>
            <w:r>
              <w:rPr>
                <w:rFonts w:hint="eastAsia" w:ascii="黑体" w:eastAsia="黑体"/>
                <w:szCs w:val="21"/>
                <w:lang w:eastAsia="zh-CN"/>
              </w:rPr>
              <w:t>录入</w:t>
            </w:r>
          </w:p>
        </w:tc>
        <w:tc>
          <w:tcPr>
            <w:tcW w:w="2900" w:type="dxa"/>
            <w:tcBorders>
              <w:top w:val="single" w:color="auto" w:sz="8" w:space="0"/>
              <w:left w:val="nil"/>
              <w:bottom w:val="single" w:color="auto" w:sz="8" w:space="0"/>
            </w:tcBorders>
            <w:vAlign w:val="center"/>
          </w:tcPr>
          <w:p>
            <w:pPr>
              <w:rPr>
                <w:rFonts w:ascii="黑体" w:eastAsia="黑体"/>
                <w:szCs w:val="21"/>
              </w:rPr>
            </w:pPr>
            <w:r>
              <w:rPr>
                <w:rFonts w:hint="eastAsia" w:ascii="黑体" w:eastAsia="黑体"/>
                <w:szCs w:val="21"/>
                <w:lang w:eastAsia="zh-CN"/>
              </w:rPr>
              <w:t xml:space="preserve">4.1.2.1 </w:t>
            </w:r>
            <w:r>
              <w:rPr>
                <w:rFonts w:hint="eastAsia" w:ascii="黑体" w:eastAsia="黑体"/>
                <w:szCs w:val="21"/>
              </w:rPr>
              <w:t>数字程控交换机</w:t>
            </w:r>
          </w:p>
        </w:tc>
        <w:tc>
          <w:tcPr>
            <w:tcW w:w="2975" w:type="dxa"/>
            <w:tcBorders>
              <w:right w:val="nil"/>
            </w:tcBorders>
            <w:vAlign w:val="center"/>
          </w:tcPr>
          <w:p>
            <w:pPr>
              <w:rPr>
                <w:szCs w:val="21"/>
                <w:lang w:eastAsia="zh-CN"/>
              </w:rPr>
            </w:pPr>
            <w:r>
              <w:rPr>
                <w:rFonts w:hint="eastAsia"/>
                <w:szCs w:val="21"/>
                <w:lang w:eastAsia="zh-CN"/>
              </w:rPr>
              <w:t>指固网数字程控交换机和移动数字程控交换机</w:t>
            </w:r>
          </w:p>
        </w:tc>
        <w:tc>
          <w:tcPr>
            <w:tcW w:w="1191" w:type="dxa"/>
            <w:tcBorders>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tcBorders>
            <w:vAlign w:val="center"/>
          </w:tcPr>
          <w:p>
            <w:pPr>
              <w:rPr>
                <w:rFonts w:ascii="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2</w:t>
            </w:r>
            <w:r>
              <w:rPr>
                <w:rFonts w:hint="eastAsia"/>
                <w:bCs/>
                <w:szCs w:val="21"/>
              </w:rPr>
              <w:t>0</w:t>
            </w:r>
            <w:r>
              <w:rPr>
                <w:rFonts w:hint="eastAsia"/>
                <w:bCs/>
                <w:szCs w:val="21"/>
                <w:lang w:eastAsia="zh-CN"/>
              </w:rPr>
              <w:t>2</w:t>
            </w:r>
          </w:p>
        </w:tc>
        <w:tc>
          <w:tcPr>
            <w:tcW w:w="812" w:type="dxa"/>
            <w:tcBorders>
              <w:top w:val="single" w:color="auto" w:sz="8" w:space="0"/>
              <w:left w:val="nil"/>
              <w:bottom w:val="single" w:color="auto" w:sz="8" w:space="0"/>
            </w:tcBorders>
            <w:vAlign w:val="center"/>
          </w:tcPr>
          <w:p>
            <w:pPr>
              <w:rPr>
                <w:rFonts w:ascii="黑体" w:eastAsia="黑体"/>
                <w:szCs w:val="21"/>
              </w:rPr>
            </w:pPr>
            <w:r>
              <w:rPr>
                <w:rFonts w:hint="eastAsia" w:ascii="黑体" w:eastAsia="黑体"/>
                <w:szCs w:val="21"/>
                <w:lang w:eastAsia="zh-CN"/>
              </w:rPr>
              <w:t>录入</w:t>
            </w:r>
          </w:p>
        </w:tc>
        <w:tc>
          <w:tcPr>
            <w:tcW w:w="2900" w:type="dxa"/>
            <w:tcBorders>
              <w:top w:val="single" w:color="auto" w:sz="8" w:space="0"/>
              <w:left w:val="nil"/>
              <w:bottom w:val="single" w:color="auto" w:sz="8" w:space="0"/>
            </w:tcBorders>
            <w:vAlign w:val="center"/>
          </w:tcPr>
          <w:p>
            <w:pPr>
              <w:rPr>
                <w:rFonts w:ascii="黑体" w:eastAsia="黑体"/>
                <w:szCs w:val="21"/>
              </w:rPr>
            </w:pPr>
            <w:r>
              <w:rPr>
                <w:rFonts w:hint="eastAsia" w:ascii="黑体" w:eastAsia="黑体"/>
                <w:szCs w:val="21"/>
                <w:lang w:eastAsia="zh-CN"/>
              </w:rPr>
              <w:t xml:space="preserve">4.1.2.2 </w:t>
            </w:r>
            <w:r>
              <w:rPr>
                <w:rFonts w:hint="eastAsia" w:ascii="黑体" w:eastAsia="黑体"/>
                <w:szCs w:val="21"/>
              </w:rPr>
              <w:t>软交换机</w:t>
            </w:r>
          </w:p>
        </w:tc>
        <w:tc>
          <w:tcPr>
            <w:tcW w:w="2975" w:type="dxa"/>
            <w:tcBorders>
              <w:right w:val="nil"/>
            </w:tcBorders>
            <w:vAlign w:val="center"/>
          </w:tcPr>
          <w:p>
            <w:pPr>
              <w:rPr>
                <w:szCs w:val="21"/>
                <w:lang w:eastAsia="zh-CN"/>
              </w:rPr>
            </w:pPr>
            <w:r>
              <w:rPr>
                <w:rFonts w:hint="eastAsia"/>
                <w:szCs w:val="21"/>
                <w:lang w:eastAsia="zh-CN"/>
              </w:rPr>
              <w:t>指固网软交换机和移动软交换机</w:t>
            </w:r>
          </w:p>
        </w:tc>
        <w:tc>
          <w:tcPr>
            <w:tcW w:w="1191" w:type="dxa"/>
            <w:tcBorders>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rPr>
                <w:rFonts w:ascii="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2</w:t>
            </w:r>
            <w:r>
              <w:rPr>
                <w:rFonts w:hint="eastAsia"/>
                <w:bCs/>
                <w:szCs w:val="21"/>
              </w:rPr>
              <w:t>0</w:t>
            </w:r>
            <w:r>
              <w:rPr>
                <w:rFonts w:hint="eastAsia"/>
                <w:bCs/>
                <w:szCs w:val="21"/>
                <w:lang w:eastAsia="zh-CN"/>
              </w:rPr>
              <w:t>3</w:t>
            </w:r>
          </w:p>
        </w:tc>
        <w:tc>
          <w:tcPr>
            <w:tcW w:w="812"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ascii="黑体" w:eastAsia="黑体"/>
                <w:szCs w:val="21"/>
                <w:lang w:eastAsia="zh-CN"/>
              </w:rPr>
              <w:t xml:space="preserve">4.1.2.3 </w:t>
            </w:r>
            <w:r>
              <w:rPr>
                <w:rFonts w:hint="eastAsia" w:ascii="黑体" w:eastAsia="黑体"/>
                <w:szCs w:val="21"/>
              </w:rPr>
              <w:t>光交换机</w:t>
            </w:r>
          </w:p>
        </w:tc>
        <w:tc>
          <w:tcPr>
            <w:tcW w:w="2975" w:type="dxa"/>
            <w:tcBorders>
              <w:top w:val="single" w:color="auto" w:sz="4" w:space="0"/>
              <w:left w:val="single" w:color="auto" w:sz="4" w:space="0"/>
              <w:bottom w:val="single" w:color="auto" w:sz="4" w:space="0"/>
              <w:right w:val="nil"/>
            </w:tcBorders>
            <w:vAlign w:val="center"/>
          </w:tcPr>
          <w:p>
            <w:pPr>
              <w:rPr>
                <w:szCs w:val="21"/>
                <w:lang w:eastAsia="zh-CN"/>
              </w:rPr>
            </w:pPr>
            <w:r>
              <w:rPr>
                <w:rFonts w:hint="eastAsia"/>
                <w:szCs w:val="21"/>
                <w:lang w:eastAsia="zh-CN"/>
              </w:rPr>
              <w:t>指可以进行光信号数据交换的设备</w:t>
            </w: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47"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3</w:t>
            </w:r>
            <w:r>
              <w:rPr>
                <w:rFonts w:hint="eastAsia"/>
                <w:bCs/>
                <w:szCs w:val="21"/>
              </w:rPr>
              <w:t>00</w:t>
            </w:r>
          </w:p>
        </w:tc>
        <w:tc>
          <w:tcPr>
            <w:tcW w:w="812" w:type="dxa"/>
            <w:tcBorders>
              <w:top w:val="single" w:color="auto" w:sz="8" w:space="0"/>
              <w:left w:val="nil"/>
              <w:bottom w:val="single" w:color="auto" w:sz="8" w:space="0"/>
              <w:right w:val="single" w:color="auto" w:sz="4" w:space="0"/>
            </w:tcBorders>
            <w:vAlign w:val="center"/>
          </w:tcPr>
          <w:p>
            <w:pPr>
              <w:rPr>
                <w:rFonts w:ascii="黑体" w:eastAsia="黑体"/>
                <w:szCs w:val="21"/>
              </w:rPr>
            </w:pPr>
          </w:p>
        </w:tc>
        <w:tc>
          <w:tcPr>
            <w:tcW w:w="2900"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ascii="黑体" w:eastAsia="黑体"/>
                <w:szCs w:val="21"/>
                <w:lang w:eastAsia="zh-CN"/>
              </w:rPr>
              <w:t xml:space="preserve">4.1.3 </w:t>
            </w:r>
            <w:r>
              <w:rPr>
                <w:rFonts w:hint="eastAsia" w:ascii="黑体" w:eastAsia="黑体"/>
                <w:szCs w:val="21"/>
              </w:rPr>
              <w:t>移动通信设备</w:t>
            </w:r>
          </w:p>
        </w:tc>
        <w:tc>
          <w:tcPr>
            <w:tcW w:w="2975" w:type="dxa"/>
            <w:tcBorders>
              <w:top w:val="single" w:color="auto" w:sz="4" w:space="0"/>
              <w:left w:val="single" w:color="auto" w:sz="4" w:space="0"/>
              <w:bottom w:val="single" w:color="auto" w:sz="4" w:space="0"/>
              <w:right w:val="nil"/>
            </w:tcBorders>
            <w:vAlign w:val="center"/>
          </w:tcPr>
          <w:p>
            <w:pPr>
              <w:rPr>
                <w:szCs w:val="21"/>
              </w:rPr>
            </w:pPr>
          </w:p>
        </w:tc>
        <w:tc>
          <w:tcPr>
            <w:tcW w:w="1191" w:type="dxa"/>
            <w:tcBorders>
              <w:top w:val="single" w:color="auto" w:sz="4" w:space="0"/>
              <w:left w:val="single" w:color="auto" w:sz="4" w:space="0"/>
              <w:bottom w:val="single" w:color="auto" w:sz="4" w:space="0"/>
              <w:right w:val="nil"/>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rPr>
                <w:rFonts w:ascii="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3</w:t>
            </w:r>
            <w:r>
              <w:rPr>
                <w:rFonts w:hint="eastAsia"/>
                <w:bCs/>
                <w:szCs w:val="21"/>
              </w:rPr>
              <w:t>0</w:t>
            </w:r>
            <w:r>
              <w:rPr>
                <w:rFonts w:hint="eastAsia"/>
                <w:bCs/>
                <w:szCs w:val="21"/>
                <w:lang w:eastAsia="zh-CN"/>
              </w:rPr>
              <w:t>1</w:t>
            </w:r>
          </w:p>
        </w:tc>
        <w:tc>
          <w:tcPr>
            <w:tcW w:w="812"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ascii="黑体" w:eastAsia="黑体"/>
                <w:szCs w:val="21"/>
                <w:lang w:eastAsia="zh-CN"/>
              </w:rPr>
              <w:t xml:space="preserve">4.1.3.1 </w:t>
            </w:r>
            <w:r>
              <w:rPr>
                <w:rFonts w:hint="eastAsia" w:ascii="黑体" w:eastAsia="黑体"/>
                <w:szCs w:val="21"/>
              </w:rPr>
              <w:t>基站</w:t>
            </w:r>
          </w:p>
        </w:tc>
        <w:tc>
          <w:tcPr>
            <w:tcW w:w="2975" w:type="dxa"/>
            <w:tcBorders>
              <w:top w:val="single" w:color="auto" w:sz="4" w:space="0"/>
              <w:left w:val="single" w:color="auto" w:sz="4" w:space="0"/>
              <w:bottom w:val="single" w:color="auto" w:sz="4" w:space="0"/>
              <w:right w:val="nil"/>
            </w:tcBorders>
            <w:vAlign w:val="center"/>
          </w:tcPr>
          <w:p>
            <w:pPr>
              <w:rPr>
                <w:szCs w:val="21"/>
              </w:rPr>
            </w:pPr>
          </w:p>
        </w:tc>
        <w:tc>
          <w:tcPr>
            <w:tcW w:w="1191" w:type="dxa"/>
            <w:tcBorders>
              <w:top w:val="single" w:color="auto" w:sz="4" w:space="0"/>
              <w:left w:val="single" w:color="auto" w:sz="4" w:space="0"/>
              <w:bottom w:val="single" w:color="auto" w:sz="4" w:space="0"/>
              <w:right w:val="nil"/>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rPr>
                <w:rFonts w:ascii="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3</w:t>
            </w:r>
            <w:r>
              <w:rPr>
                <w:rFonts w:hint="eastAsia"/>
                <w:bCs/>
                <w:szCs w:val="21"/>
              </w:rPr>
              <w:t>0</w:t>
            </w:r>
            <w:r>
              <w:rPr>
                <w:rFonts w:hint="eastAsia"/>
                <w:bCs/>
                <w:szCs w:val="21"/>
                <w:lang w:eastAsia="zh-CN"/>
              </w:rPr>
              <w:t>2</w:t>
            </w:r>
          </w:p>
        </w:tc>
        <w:tc>
          <w:tcPr>
            <w:tcW w:w="812"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ascii="黑体" w:eastAsia="黑体"/>
                <w:szCs w:val="21"/>
                <w:lang w:eastAsia="zh-CN"/>
              </w:rPr>
              <w:t xml:space="preserve">4.1.3.2 </w:t>
            </w:r>
            <w:r>
              <w:rPr>
                <w:rFonts w:hint="eastAsia" w:ascii="黑体" w:eastAsia="黑体"/>
                <w:szCs w:val="21"/>
              </w:rPr>
              <w:t>直放站</w:t>
            </w:r>
          </w:p>
        </w:tc>
        <w:tc>
          <w:tcPr>
            <w:tcW w:w="2975" w:type="dxa"/>
            <w:tcBorders>
              <w:top w:val="single" w:color="auto" w:sz="4" w:space="0"/>
              <w:left w:val="single" w:color="auto" w:sz="4" w:space="0"/>
              <w:bottom w:val="single" w:color="auto" w:sz="4" w:space="0"/>
              <w:right w:val="nil"/>
            </w:tcBorders>
            <w:vAlign w:val="center"/>
          </w:tcPr>
          <w:p>
            <w:pPr>
              <w:rPr>
                <w:szCs w:val="21"/>
              </w:rPr>
            </w:pP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r>
              <w:rPr>
                <w:rFonts w:hint="eastAsia"/>
                <w:szCs w:val="21"/>
                <w:lang w:eastAsia="zh-CN"/>
              </w:rPr>
              <w:t>电子制造业制度中无对应项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4</w:t>
            </w:r>
            <w:r>
              <w:rPr>
                <w:rFonts w:hint="eastAsia"/>
                <w:bCs/>
                <w:szCs w:val="21"/>
              </w:rPr>
              <w:t>00</w:t>
            </w:r>
          </w:p>
        </w:tc>
        <w:tc>
          <w:tcPr>
            <w:tcW w:w="812" w:type="dxa"/>
            <w:tcBorders>
              <w:top w:val="single" w:color="auto" w:sz="8" w:space="0"/>
              <w:left w:val="nil"/>
              <w:bottom w:val="single" w:color="auto" w:sz="8" w:space="0"/>
              <w:right w:val="single" w:color="auto" w:sz="4" w:space="0"/>
            </w:tcBorders>
            <w:vAlign w:val="center"/>
          </w:tcPr>
          <w:p>
            <w:pPr>
              <w:rPr>
                <w:rFonts w:ascii="黑体" w:eastAsia="黑体"/>
                <w:szCs w:val="21"/>
              </w:rPr>
            </w:pPr>
          </w:p>
        </w:tc>
        <w:tc>
          <w:tcPr>
            <w:tcW w:w="2900"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ascii="黑体" w:eastAsia="黑体"/>
                <w:szCs w:val="21"/>
                <w:lang w:eastAsia="zh-CN"/>
              </w:rPr>
              <w:t xml:space="preserve">4.1.4 </w:t>
            </w:r>
            <w:r>
              <w:rPr>
                <w:rFonts w:hint="eastAsia" w:ascii="黑体" w:eastAsia="黑体"/>
                <w:szCs w:val="21"/>
              </w:rPr>
              <w:t>网络设备</w:t>
            </w:r>
          </w:p>
        </w:tc>
        <w:tc>
          <w:tcPr>
            <w:tcW w:w="2975" w:type="dxa"/>
            <w:tcBorders>
              <w:top w:val="single" w:color="auto" w:sz="4" w:space="0"/>
              <w:left w:val="single" w:color="auto" w:sz="4" w:space="0"/>
              <w:bottom w:val="single" w:color="auto" w:sz="4" w:space="0"/>
              <w:right w:val="nil"/>
            </w:tcBorders>
            <w:vAlign w:val="center"/>
          </w:tcPr>
          <w:p>
            <w:pPr>
              <w:rPr>
                <w:szCs w:val="21"/>
                <w:lang w:eastAsia="zh-CN"/>
              </w:rPr>
            </w:pPr>
            <w:r>
              <w:rPr>
                <w:rFonts w:hint="eastAsia"/>
                <w:szCs w:val="21"/>
                <w:lang w:eastAsia="zh-CN"/>
              </w:rPr>
              <w:t>指建立某一系统网络所需各种相关的设备或者装置</w:t>
            </w: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47" w:type="dxa"/>
            <w:tcBorders>
              <w:top w:val="single" w:color="auto" w:sz="8" w:space="0"/>
              <w:left w:val="nil"/>
              <w:bottom w:val="single" w:color="auto" w:sz="8" w:space="0"/>
              <w:right w:val="single" w:color="auto" w:sz="4" w:space="0"/>
            </w:tcBorders>
            <w:vAlign w:val="center"/>
          </w:tcPr>
          <w:p>
            <w:pPr>
              <w:rPr>
                <w:rFonts w:ascii="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4</w:t>
            </w:r>
            <w:r>
              <w:rPr>
                <w:rFonts w:hint="eastAsia"/>
                <w:bCs/>
                <w:szCs w:val="21"/>
              </w:rPr>
              <w:t>0</w:t>
            </w:r>
            <w:r>
              <w:rPr>
                <w:rFonts w:hint="eastAsia"/>
                <w:bCs/>
                <w:szCs w:val="21"/>
                <w:lang w:eastAsia="zh-CN"/>
              </w:rPr>
              <w:t>1</w:t>
            </w:r>
          </w:p>
        </w:tc>
        <w:tc>
          <w:tcPr>
            <w:tcW w:w="812"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ascii="黑体" w:eastAsia="黑体"/>
                <w:szCs w:val="21"/>
                <w:lang w:eastAsia="zh-CN"/>
              </w:rPr>
              <w:t xml:space="preserve">4.1.4.1 </w:t>
            </w:r>
            <w:r>
              <w:rPr>
                <w:rFonts w:hint="eastAsia" w:ascii="黑体" w:eastAsia="黑体"/>
                <w:szCs w:val="21"/>
              </w:rPr>
              <w:t>网络控制设备</w:t>
            </w:r>
          </w:p>
        </w:tc>
        <w:tc>
          <w:tcPr>
            <w:tcW w:w="2975" w:type="dxa"/>
            <w:tcBorders>
              <w:top w:val="single" w:color="auto" w:sz="4" w:space="0"/>
              <w:left w:val="single" w:color="auto" w:sz="4" w:space="0"/>
              <w:bottom w:val="single" w:color="auto" w:sz="4" w:space="0"/>
              <w:right w:val="nil"/>
            </w:tcBorders>
            <w:vAlign w:val="center"/>
          </w:tcPr>
          <w:p>
            <w:pPr>
              <w:rPr>
                <w:szCs w:val="21"/>
                <w:lang w:eastAsia="zh-CN"/>
              </w:rPr>
            </w:pPr>
            <w:r>
              <w:rPr>
                <w:rFonts w:hint="eastAsia"/>
                <w:szCs w:val="21"/>
                <w:lang w:eastAsia="zh-CN"/>
              </w:rPr>
              <w:t>包含：通信控制处理机、集中器、终端控制器</w:t>
            </w: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rPr>
                <w:rFonts w:ascii="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4</w:t>
            </w:r>
            <w:r>
              <w:rPr>
                <w:rFonts w:hint="eastAsia"/>
                <w:bCs/>
                <w:szCs w:val="21"/>
              </w:rPr>
              <w:t>0</w:t>
            </w:r>
            <w:r>
              <w:rPr>
                <w:rFonts w:hint="eastAsia"/>
                <w:bCs/>
                <w:szCs w:val="21"/>
                <w:lang w:eastAsia="zh-CN"/>
              </w:rPr>
              <w:t>2</w:t>
            </w:r>
          </w:p>
        </w:tc>
        <w:tc>
          <w:tcPr>
            <w:tcW w:w="812" w:type="dxa"/>
            <w:tcBorders>
              <w:top w:val="single" w:color="auto" w:sz="8" w:space="0"/>
              <w:left w:val="nil"/>
              <w:bottom w:val="single" w:color="auto" w:sz="8" w:space="0"/>
              <w:right w:val="single" w:color="auto" w:sz="4" w:space="0"/>
            </w:tcBorders>
            <w:vAlign w:val="center"/>
          </w:tcPr>
          <w:p>
            <w:pPr>
              <w:rPr>
                <w:rFonts w:ascii="黑体" w:eastAsia="黑体"/>
                <w:szCs w:val="21"/>
                <w:lang w:eastAsia="zh-CN"/>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rPr>
                <w:rFonts w:ascii="黑体" w:eastAsia="黑体"/>
                <w:szCs w:val="21"/>
                <w:lang w:eastAsia="zh-CN"/>
              </w:rPr>
            </w:pPr>
            <w:r>
              <w:rPr>
                <w:rFonts w:hint="eastAsia" w:ascii="黑体" w:eastAsia="黑体"/>
                <w:szCs w:val="21"/>
                <w:lang w:eastAsia="zh-CN"/>
              </w:rPr>
              <w:t>4.1.4.2 网络接口和适配器</w:t>
            </w:r>
          </w:p>
        </w:tc>
        <w:tc>
          <w:tcPr>
            <w:tcW w:w="2975" w:type="dxa"/>
            <w:tcBorders>
              <w:top w:val="single" w:color="auto" w:sz="4" w:space="0"/>
              <w:left w:val="single" w:color="auto" w:sz="4" w:space="0"/>
              <w:bottom w:val="single" w:color="auto" w:sz="4" w:space="0"/>
              <w:right w:val="nil"/>
            </w:tcBorders>
            <w:vAlign w:val="center"/>
          </w:tcPr>
          <w:p>
            <w:pPr>
              <w:rPr>
                <w:szCs w:val="21"/>
                <w:lang w:eastAsia="zh-CN"/>
              </w:rPr>
            </w:pPr>
            <w:r>
              <w:rPr>
                <w:rFonts w:hint="eastAsia"/>
                <w:szCs w:val="21"/>
                <w:lang w:eastAsia="zh-CN"/>
              </w:rPr>
              <w:t>包含：网络收发器、网络转发器、网络分配器、通信网络时钟同步设备</w:t>
            </w: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rPr>
                <w:rFonts w:ascii="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4</w:t>
            </w:r>
            <w:r>
              <w:rPr>
                <w:rFonts w:hint="eastAsia"/>
                <w:bCs/>
                <w:szCs w:val="21"/>
              </w:rPr>
              <w:t>0</w:t>
            </w:r>
            <w:r>
              <w:rPr>
                <w:rFonts w:hint="eastAsia"/>
                <w:bCs/>
                <w:szCs w:val="21"/>
                <w:lang w:eastAsia="zh-CN"/>
              </w:rPr>
              <w:t>3</w:t>
            </w:r>
          </w:p>
        </w:tc>
        <w:tc>
          <w:tcPr>
            <w:tcW w:w="812"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ascii="黑体" w:eastAsia="黑体"/>
                <w:szCs w:val="21"/>
                <w:lang w:eastAsia="zh-CN"/>
              </w:rPr>
              <w:t xml:space="preserve">4.1.4.3 </w:t>
            </w:r>
            <w:r>
              <w:rPr>
                <w:rFonts w:hint="eastAsia" w:ascii="黑体" w:eastAsia="黑体"/>
                <w:szCs w:val="21"/>
              </w:rPr>
              <w:t>网络连接设备</w:t>
            </w:r>
          </w:p>
        </w:tc>
        <w:tc>
          <w:tcPr>
            <w:tcW w:w="2975" w:type="dxa"/>
            <w:tcBorders>
              <w:top w:val="single" w:color="auto" w:sz="4" w:space="0"/>
              <w:left w:val="single" w:color="auto" w:sz="4" w:space="0"/>
              <w:bottom w:val="single" w:color="auto" w:sz="4" w:space="0"/>
              <w:right w:val="nil"/>
            </w:tcBorders>
            <w:vAlign w:val="center"/>
          </w:tcPr>
          <w:p>
            <w:pPr>
              <w:rPr>
                <w:szCs w:val="21"/>
                <w:lang w:eastAsia="zh-CN"/>
              </w:rPr>
            </w:pPr>
            <w:r>
              <w:rPr>
                <w:rFonts w:hint="eastAsia"/>
                <w:szCs w:val="21"/>
                <w:lang w:eastAsia="zh-CN"/>
              </w:rPr>
              <w:t>包含：集线器、路由器、数字数据网络DDN节点设备、数字交叉连接设备、二层交换机、无线局域网接入点（AP）</w:t>
            </w: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rPr>
                <w:rFonts w:ascii="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4</w:t>
            </w:r>
            <w:r>
              <w:rPr>
                <w:rFonts w:hint="eastAsia"/>
                <w:bCs/>
                <w:szCs w:val="21"/>
              </w:rPr>
              <w:t>0</w:t>
            </w:r>
            <w:r>
              <w:rPr>
                <w:rFonts w:hint="eastAsia"/>
                <w:bCs/>
                <w:szCs w:val="21"/>
                <w:lang w:eastAsia="zh-CN"/>
              </w:rPr>
              <w:t>4</w:t>
            </w:r>
          </w:p>
        </w:tc>
        <w:tc>
          <w:tcPr>
            <w:tcW w:w="812"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ascii="黑体" w:eastAsia="黑体"/>
                <w:szCs w:val="21"/>
                <w:lang w:eastAsia="zh-CN"/>
              </w:rPr>
              <w:t xml:space="preserve">4.1.4.4 </w:t>
            </w:r>
            <w:r>
              <w:rPr>
                <w:rFonts w:hint="eastAsia" w:ascii="黑体" w:eastAsia="黑体"/>
                <w:szCs w:val="21"/>
              </w:rPr>
              <w:t>网络优化设备</w:t>
            </w:r>
          </w:p>
        </w:tc>
        <w:tc>
          <w:tcPr>
            <w:tcW w:w="2975" w:type="dxa"/>
            <w:tcBorders>
              <w:top w:val="single" w:color="auto" w:sz="4" w:space="0"/>
              <w:left w:val="single" w:color="auto" w:sz="4" w:space="0"/>
              <w:bottom w:val="single" w:color="auto" w:sz="4" w:space="0"/>
              <w:right w:val="nil"/>
            </w:tcBorders>
            <w:vAlign w:val="center"/>
          </w:tcPr>
          <w:p>
            <w:pPr>
              <w:rPr>
                <w:szCs w:val="21"/>
                <w:lang w:eastAsia="zh-CN"/>
              </w:rPr>
            </w:pPr>
            <w:r>
              <w:rPr>
                <w:rFonts w:hint="eastAsia"/>
                <w:szCs w:val="21"/>
                <w:lang w:eastAsia="zh-CN"/>
              </w:rPr>
              <w:t>包含：负载均衡器、流量控制器</w:t>
            </w: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47" w:type="dxa"/>
            <w:tcBorders>
              <w:top w:val="single" w:color="auto" w:sz="8" w:space="0"/>
              <w:left w:val="nil"/>
              <w:bottom w:val="single" w:color="auto" w:sz="8" w:space="0"/>
              <w:right w:val="single" w:color="auto" w:sz="4" w:space="0"/>
            </w:tcBorders>
            <w:vAlign w:val="center"/>
          </w:tcPr>
          <w:p>
            <w:pPr>
              <w:rPr>
                <w:rFonts w:ascii="黑体" w:eastAsia="黑体"/>
                <w:b/>
                <w:szCs w:val="21"/>
                <w:lang w:eastAsia="zh-CN"/>
              </w:rPr>
            </w:pPr>
            <w:r>
              <w:rPr>
                <w:rFonts w:hint="eastAsia"/>
                <w:b/>
                <w:szCs w:val="21"/>
              </w:rPr>
              <w:t>E</w:t>
            </w:r>
            <w:r>
              <w:rPr>
                <w:rFonts w:hint="eastAsia"/>
                <w:b/>
                <w:szCs w:val="21"/>
                <w:lang w:eastAsia="zh-CN"/>
              </w:rPr>
              <w:t>4</w:t>
            </w:r>
            <w:r>
              <w:rPr>
                <w:rFonts w:hint="eastAsia"/>
                <w:b/>
                <w:szCs w:val="21"/>
              </w:rPr>
              <w:t>0</w:t>
            </w:r>
            <w:r>
              <w:rPr>
                <w:rFonts w:hint="eastAsia"/>
                <w:b/>
                <w:szCs w:val="21"/>
                <w:lang w:eastAsia="zh-CN"/>
              </w:rPr>
              <w:t>1</w:t>
            </w:r>
            <w:r>
              <w:rPr>
                <w:rFonts w:hint="eastAsia"/>
                <w:b/>
                <w:szCs w:val="21"/>
              </w:rPr>
              <w:t>0</w:t>
            </w:r>
            <w:r>
              <w:rPr>
                <w:rFonts w:hint="eastAsia"/>
                <w:b/>
                <w:szCs w:val="21"/>
                <w:lang w:eastAsia="zh-CN"/>
              </w:rPr>
              <w:t>2</w:t>
            </w:r>
            <w:r>
              <w:rPr>
                <w:rFonts w:hint="eastAsia"/>
                <w:b/>
                <w:szCs w:val="21"/>
              </w:rPr>
              <w:t>0000</w:t>
            </w:r>
          </w:p>
        </w:tc>
        <w:tc>
          <w:tcPr>
            <w:tcW w:w="812" w:type="dxa"/>
            <w:tcBorders>
              <w:top w:val="single" w:color="auto" w:sz="8" w:space="0"/>
              <w:left w:val="nil"/>
              <w:bottom w:val="single" w:color="auto" w:sz="8" w:space="0"/>
              <w:right w:val="single" w:color="auto" w:sz="4" w:space="0"/>
            </w:tcBorders>
            <w:vAlign w:val="center"/>
          </w:tcPr>
          <w:p>
            <w:pPr>
              <w:rPr>
                <w:rFonts w:ascii="黑体" w:eastAsia="黑体"/>
                <w:b/>
                <w:szCs w:val="21"/>
                <w:lang w:eastAsia="zh-CN"/>
              </w:rPr>
            </w:pPr>
          </w:p>
        </w:tc>
        <w:tc>
          <w:tcPr>
            <w:tcW w:w="2900" w:type="dxa"/>
            <w:tcBorders>
              <w:top w:val="single" w:color="auto" w:sz="8" w:space="0"/>
              <w:left w:val="nil"/>
              <w:bottom w:val="single" w:color="auto" w:sz="8" w:space="0"/>
              <w:right w:val="single" w:color="auto" w:sz="4" w:space="0"/>
            </w:tcBorders>
            <w:vAlign w:val="center"/>
          </w:tcPr>
          <w:p>
            <w:pPr>
              <w:rPr>
                <w:rFonts w:ascii="黑体" w:eastAsia="黑体"/>
                <w:b/>
                <w:szCs w:val="21"/>
                <w:lang w:eastAsia="zh-CN"/>
              </w:rPr>
            </w:pPr>
            <w:r>
              <w:rPr>
                <w:rFonts w:hint="eastAsia" w:ascii="黑体" w:eastAsia="黑体"/>
                <w:b/>
                <w:szCs w:val="21"/>
                <w:lang w:eastAsia="zh-CN"/>
              </w:rPr>
              <w:t>4.2 数字家用视听产品</w:t>
            </w:r>
          </w:p>
        </w:tc>
        <w:tc>
          <w:tcPr>
            <w:tcW w:w="2975" w:type="dxa"/>
            <w:tcBorders>
              <w:top w:val="single" w:color="auto" w:sz="4" w:space="0"/>
              <w:left w:val="single" w:color="auto" w:sz="4" w:space="0"/>
              <w:bottom w:val="single" w:color="auto" w:sz="4" w:space="0"/>
              <w:right w:val="nil"/>
            </w:tcBorders>
            <w:vAlign w:val="center"/>
          </w:tcPr>
          <w:p>
            <w:pPr>
              <w:rPr>
                <w:szCs w:val="21"/>
              </w:rPr>
            </w:pPr>
          </w:p>
        </w:tc>
        <w:tc>
          <w:tcPr>
            <w:tcW w:w="1191" w:type="dxa"/>
            <w:tcBorders>
              <w:top w:val="single" w:color="auto" w:sz="4" w:space="0"/>
              <w:left w:val="single" w:color="auto" w:sz="4" w:space="0"/>
              <w:bottom w:val="single" w:color="auto" w:sz="4" w:space="0"/>
              <w:right w:val="nil"/>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2</w:t>
            </w:r>
            <w:r>
              <w:rPr>
                <w:rFonts w:hint="eastAsia"/>
                <w:bCs/>
                <w:szCs w:val="21"/>
              </w:rPr>
              <w:t>0</w:t>
            </w:r>
            <w:r>
              <w:rPr>
                <w:rFonts w:hint="eastAsia"/>
                <w:bCs/>
                <w:szCs w:val="21"/>
                <w:lang w:eastAsia="zh-CN"/>
              </w:rPr>
              <w:t>1</w:t>
            </w:r>
            <w:r>
              <w:rPr>
                <w:rFonts w:hint="eastAsia"/>
                <w:bCs/>
                <w:szCs w:val="21"/>
              </w:rPr>
              <w:t>00</w:t>
            </w:r>
          </w:p>
        </w:tc>
        <w:tc>
          <w:tcPr>
            <w:tcW w:w="812"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ascii="黑体" w:eastAsia="黑体"/>
                <w:szCs w:val="21"/>
                <w:lang w:eastAsia="zh-CN"/>
              </w:rPr>
              <w:t xml:space="preserve">4.2.1 </w:t>
            </w:r>
            <w:r>
              <w:rPr>
                <w:rFonts w:hint="eastAsia" w:ascii="黑体" w:eastAsia="黑体"/>
                <w:szCs w:val="21"/>
              </w:rPr>
              <w:t>电视接收机顶盒</w:t>
            </w:r>
          </w:p>
        </w:tc>
        <w:tc>
          <w:tcPr>
            <w:tcW w:w="2975" w:type="dxa"/>
            <w:tcBorders>
              <w:top w:val="single" w:color="auto" w:sz="4" w:space="0"/>
              <w:left w:val="single" w:color="auto" w:sz="4" w:space="0"/>
              <w:bottom w:val="single" w:color="auto" w:sz="4" w:space="0"/>
              <w:right w:val="nil"/>
            </w:tcBorders>
            <w:vAlign w:val="center"/>
          </w:tcPr>
          <w:p>
            <w:pPr>
              <w:rPr>
                <w:szCs w:val="21"/>
              </w:rPr>
            </w:pPr>
          </w:p>
        </w:tc>
        <w:tc>
          <w:tcPr>
            <w:tcW w:w="1191" w:type="dxa"/>
            <w:tcBorders>
              <w:top w:val="single" w:color="auto" w:sz="4" w:space="0"/>
              <w:left w:val="single" w:color="auto" w:sz="4" w:space="0"/>
              <w:bottom w:val="single" w:color="auto" w:sz="4" w:space="0"/>
              <w:right w:val="nil"/>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2</w:t>
            </w:r>
            <w:r>
              <w:rPr>
                <w:rFonts w:hint="eastAsia"/>
                <w:bCs/>
                <w:szCs w:val="21"/>
              </w:rPr>
              <w:t>0</w:t>
            </w:r>
            <w:r>
              <w:rPr>
                <w:rFonts w:hint="eastAsia"/>
                <w:bCs/>
                <w:szCs w:val="21"/>
                <w:lang w:eastAsia="zh-CN"/>
              </w:rPr>
              <w:t>2</w:t>
            </w:r>
            <w:r>
              <w:rPr>
                <w:rFonts w:hint="eastAsia"/>
                <w:bCs/>
                <w:szCs w:val="21"/>
              </w:rPr>
              <w:t>00</w:t>
            </w:r>
          </w:p>
        </w:tc>
        <w:tc>
          <w:tcPr>
            <w:tcW w:w="812"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ascii="黑体" w:eastAsia="黑体"/>
                <w:szCs w:val="21"/>
                <w:lang w:eastAsia="zh-CN"/>
              </w:rPr>
              <w:t xml:space="preserve">4.2.2 </w:t>
            </w:r>
            <w:r>
              <w:rPr>
                <w:rFonts w:hint="eastAsia" w:ascii="黑体" w:eastAsia="黑体"/>
                <w:szCs w:val="21"/>
              </w:rPr>
              <w:t>家庭网关中心</w:t>
            </w:r>
          </w:p>
        </w:tc>
        <w:tc>
          <w:tcPr>
            <w:tcW w:w="2975" w:type="dxa"/>
            <w:tcBorders>
              <w:top w:val="single" w:color="auto" w:sz="4" w:space="0"/>
              <w:left w:val="single" w:color="auto" w:sz="4" w:space="0"/>
              <w:bottom w:val="single" w:color="auto" w:sz="4" w:space="0"/>
              <w:right w:val="nil"/>
            </w:tcBorders>
            <w:vAlign w:val="center"/>
          </w:tcPr>
          <w:p>
            <w:pPr>
              <w:rPr>
                <w:szCs w:val="21"/>
              </w:rPr>
            </w:pP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r>
              <w:rPr>
                <w:rFonts w:hint="eastAsia"/>
                <w:szCs w:val="21"/>
                <w:lang w:eastAsia="zh-CN"/>
              </w:rPr>
              <w:t>电子制造业制度中无对应项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rPr>
                <w:rFonts w:ascii="黑体" w:eastAsia="黑体"/>
                <w:b/>
                <w:szCs w:val="21"/>
                <w:lang w:eastAsia="zh-CN"/>
              </w:rPr>
            </w:pPr>
            <w:r>
              <w:rPr>
                <w:rFonts w:hint="eastAsia"/>
                <w:b/>
                <w:szCs w:val="21"/>
              </w:rPr>
              <w:t>E</w:t>
            </w:r>
            <w:r>
              <w:rPr>
                <w:rFonts w:hint="eastAsia"/>
                <w:b/>
                <w:szCs w:val="21"/>
                <w:lang w:eastAsia="zh-CN"/>
              </w:rPr>
              <w:t>4</w:t>
            </w:r>
            <w:r>
              <w:rPr>
                <w:rFonts w:hint="eastAsia"/>
                <w:b/>
                <w:szCs w:val="21"/>
              </w:rPr>
              <w:t>0</w:t>
            </w:r>
            <w:r>
              <w:rPr>
                <w:rFonts w:hint="eastAsia"/>
                <w:b/>
                <w:szCs w:val="21"/>
                <w:lang w:eastAsia="zh-CN"/>
              </w:rPr>
              <w:t>1</w:t>
            </w:r>
            <w:r>
              <w:rPr>
                <w:rFonts w:hint="eastAsia"/>
                <w:b/>
                <w:szCs w:val="21"/>
              </w:rPr>
              <w:t>0</w:t>
            </w:r>
            <w:r>
              <w:rPr>
                <w:rFonts w:hint="eastAsia"/>
                <w:b/>
                <w:szCs w:val="21"/>
                <w:lang w:eastAsia="zh-CN"/>
              </w:rPr>
              <w:t>3</w:t>
            </w:r>
            <w:r>
              <w:rPr>
                <w:rFonts w:hint="eastAsia"/>
                <w:b/>
                <w:szCs w:val="21"/>
              </w:rPr>
              <w:t>0000</w:t>
            </w:r>
          </w:p>
        </w:tc>
        <w:tc>
          <w:tcPr>
            <w:tcW w:w="812" w:type="dxa"/>
            <w:tcBorders>
              <w:top w:val="single" w:color="auto" w:sz="8" w:space="0"/>
              <w:left w:val="nil"/>
              <w:bottom w:val="single" w:color="auto" w:sz="8" w:space="0"/>
              <w:right w:val="single" w:color="auto" w:sz="4" w:space="0"/>
            </w:tcBorders>
            <w:vAlign w:val="center"/>
          </w:tcPr>
          <w:p>
            <w:pPr>
              <w:rPr>
                <w:rFonts w:ascii="黑体" w:eastAsia="黑体"/>
                <w:b/>
                <w:szCs w:val="21"/>
                <w:lang w:eastAsia="zh-CN"/>
              </w:rPr>
            </w:pPr>
          </w:p>
        </w:tc>
        <w:tc>
          <w:tcPr>
            <w:tcW w:w="2900" w:type="dxa"/>
            <w:tcBorders>
              <w:top w:val="single" w:color="auto" w:sz="8" w:space="0"/>
              <w:left w:val="nil"/>
              <w:bottom w:val="single" w:color="auto" w:sz="8" w:space="0"/>
              <w:right w:val="single" w:color="auto" w:sz="4" w:space="0"/>
            </w:tcBorders>
            <w:vAlign w:val="center"/>
          </w:tcPr>
          <w:p>
            <w:pPr>
              <w:rPr>
                <w:rFonts w:ascii="黑体" w:eastAsia="黑体"/>
                <w:b/>
                <w:szCs w:val="21"/>
                <w:lang w:eastAsia="zh-CN"/>
              </w:rPr>
            </w:pPr>
            <w:r>
              <w:rPr>
                <w:rFonts w:hint="eastAsia" w:ascii="黑体" w:eastAsia="黑体"/>
                <w:b/>
                <w:szCs w:val="21"/>
                <w:lang w:eastAsia="zh-CN"/>
              </w:rPr>
              <w:t>4.3 计算机应用产品</w:t>
            </w:r>
          </w:p>
        </w:tc>
        <w:tc>
          <w:tcPr>
            <w:tcW w:w="2975" w:type="dxa"/>
            <w:tcBorders>
              <w:top w:val="single" w:color="auto" w:sz="4" w:space="0"/>
              <w:left w:val="single" w:color="auto" w:sz="4" w:space="0"/>
              <w:bottom w:val="single" w:color="auto" w:sz="4" w:space="0"/>
              <w:right w:val="nil"/>
            </w:tcBorders>
            <w:vAlign w:val="center"/>
          </w:tcPr>
          <w:p>
            <w:pPr>
              <w:rPr>
                <w:szCs w:val="21"/>
                <w:lang w:eastAsia="zh-CN"/>
              </w:rPr>
            </w:pPr>
            <w:r>
              <w:rPr>
                <w:rFonts w:hint="eastAsia"/>
                <w:szCs w:val="21"/>
                <w:lang w:eastAsia="zh-CN"/>
              </w:rPr>
              <w:t>指应用计算机技术推广应用的产品</w:t>
            </w: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47" w:type="dxa"/>
            <w:tcBorders>
              <w:top w:val="single" w:color="auto" w:sz="8" w:space="0"/>
              <w:left w:val="nil"/>
              <w:bottom w:val="single" w:color="auto" w:sz="8" w:space="0"/>
              <w:right w:val="single" w:color="auto" w:sz="4" w:space="0"/>
            </w:tcBorders>
            <w:vAlign w:val="center"/>
          </w:tcPr>
          <w:p>
            <w:pPr>
              <w:rPr>
                <w:rFonts w:ascii="黑体" w:eastAsia="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3</w:t>
            </w:r>
            <w:r>
              <w:rPr>
                <w:rFonts w:hint="eastAsia"/>
                <w:bCs/>
                <w:szCs w:val="21"/>
              </w:rPr>
              <w:t>0</w:t>
            </w:r>
            <w:r>
              <w:rPr>
                <w:rFonts w:hint="eastAsia"/>
                <w:bCs/>
                <w:szCs w:val="21"/>
                <w:lang w:eastAsia="zh-CN"/>
              </w:rPr>
              <w:t>1</w:t>
            </w:r>
            <w:r>
              <w:rPr>
                <w:rFonts w:hint="eastAsia"/>
                <w:bCs/>
                <w:szCs w:val="21"/>
              </w:rPr>
              <w:t>00</w:t>
            </w:r>
          </w:p>
        </w:tc>
        <w:tc>
          <w:tcPr>
            <w:tcW w:w="812" w:type="dxa"/>
            <w:tcBorders>
              <w:top w:val="single" w:color="auto" w:sz="8" w:space="0"/>
              <w:left w:val="nil"/>
              <w:bottom w:val="single" w:color="auto" w:sz="8" w:space="0"/>
              <w:right w:val="single" w:color="auto" w:sz="4" w:space="0"/>
            </w:tcBorders>
            <w:vAlign w:val="center"/>
          </w:tcPr>
          <w:p>
            <w:pPr>
              <w:rPr>
                <w:rFonts w:ascii="黑体" w:eastAsia="黑体"/>
                <w:szCs w:val="21"/>
                <w:lang w:eastAsia="zh-CN"/>
              </w:rPr>
            </w:pPr>
          </w:p>
        </w:tc>
        <w:tc>
          <w:tcPr>
            <w:tcW w:w="2900" w:type="dxa"/>
            <w:tcBorders>
              <w:top w:val="single" w:color="auto" w:sz="8" w:space="0"/>
              <w:left w:val="nil"/>
              <w:bottom w:val="single" w:color="auto" w:sz="8" w:space="0"/>
              <w:right w:val="single" w:color="auto" w:sz="4" w:space="0"/>
            </w:tcBorders>
            <w:vAlign w:val="center"/>
          </w:tcPr>
          <w:p>
            <w:pPr>
              <w:rPr>
                <w:rFonts w:ascii="黑体" w:eastAsia="黑体"/>
                <w:szCs w:val="21"/>
                <w:lang w:eastAsia="zh-CN"/>
              </w:rPr>
            </w:pPr>
            <w:r>
              <w:rPr>
                <w:rFonts w:hint="eastAsia" w:ascii="黑体" w:eastAsia="黑体"/>
                <w:szCs w:val="21"/>
                <w:lang w:eastAsia="zh-CN"/>
              </w:rPr>
              <w:t>4.3.1 金融、商业、税务电子应用产品</w:t>
            </w:r>
          </w:p>
        </w:tc>
        <w:tc>
          <w:tcPr>
            <w:tcW w:w="2975" w:type="dxa"/>
            <w:tcBorders>
              <w:top w:val="single" w:color="auto" w:sz="4" w:space="0"/>
              <w:left w:val="single" w:color="auto" w:sz="4" w:space="0"/>
              <w:bottom w:val="single" w:color="auto" w:sz="4" w:space="0"/>
              <w:right w:val="nil"/>
            </w:tcBorders>
            <w:vAlign w:val="center"/>
          </w:tcPr>
          <w:p>
            <w:pPr>
              <w:rPr>
                <w:szCs w:val="21"/>
                <w:lang w:eastAsia="zh-CN"/>
              </w:rPr>
            </w:pP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r>
              <w:rPr>
                <w:rFonts w:hint="eastAsia"/>
                <w:szCs w:val="21"/>
                <w:lang w:eastAsia="zh-CN"/>
              </w:rPr>
              <w:t>电子制造业制度中无对应项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rPr>
                <w:rFonts w:ascii="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3</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1</w:t>
            </w:r>
          </w:p>
        </w:tc>
        <w:tc>
          <w:tcPr>
            <w:tcW w:w="812" w:type="dxa"/>
            <w:tcBorders>
              <w:top w:val="single" w:color="auto" w:sz="8" w:space="0"/>
              <w:left w:val="nil"/>
              <w:bottom w:val="single" w:color="auto" w:sz="8" w:space="0"/>
              <w:right w:val="single" w:color="auto" w:sz="4" w:space="0"/>
            </w:tcBorders>
            <w:vAlign w:val="center"/>
          </w:tcPr>
          <w:p>
            <w:pPr>
              <w:rPr>
                <w:rFonts w:ascii="黑体" w:eastAsia="黑体"/>
                <w:szCs w:val="21"/>
                <w:lang w:eastAsia="zh-CN"/>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rPr>
                <w:rFonts w:ascii="黑体" w:eastAsia="黑体"/>
                <w:szCs w:val="21"/>
                <w:lang w:eastAsia="zh-CN"/>
              </w:rPr>
            </w:pPr>
            <w:r>
              <w:rPr>
                <w:rFonts w:hint="eastAsia" w:ascii="黑体" w:eastAsia="黑体"/>
                <w:szCs w:val="21"/>
                <w:lang w:eastAsia="zh-CN"/>
              </w:rPr>
              <w:t>4.3.1.1 银行自助服务终端</w:t>
            </w:r>
          </w:p>
        </w:tc>
        <w:tc>
          <w:tcPr>
            <w:tcW w:w="2975" w:type="dxa"/>
            <w:tcBorders>
              <w:top w:val="single" w:color="auto" w:sz="4" w:space="0"/>
              <w:left w:val="single" w:color="auto" w:sz="4" w:space="0"/>
              <w:bottom w:val="single" w:color="auto" w:sz="4" w:space="0"/>
              <w:right w:val="nil"/>
            </w:tcBorders>
            <w:vAlign w:val="center"/>
          </w:tcPr>
          <w:p>
            <w:pPr>
              <w:rPr>
                <w:szCs w:val="21"/>
                <w:lang w:eastAsia="zh-CN"/>
              </w:rPr>
            </w:pPr>
            <w:r>
              <w:rPr>
                <w:rFonts w:hint="eastAsia"/>
                <w:szCs w:val="21"/>
                <w:lang w:eastAsia="zh-CN"/>
              </w:rPr>
              <w:t xml:space="preserve">包含：存折补登机、自助缴费机、自助发卡机、IC卡圈存机、自助网银机； </w:t>
            </w:r>
            <w:r>
              <w:rPr>
                <w:rFonts w:hint="eastAsia"/>
                <w:szCs w:val="21"/>
                <w:lang w:eastAsia="zh-CN"/>
              </w:rPr>
              <w:br w:type="textWrapping"/>
            </w:r>
            <w:r>
              <w:rPr>
                <w:rFonts w:hint="eastAsia"/>
                <w:szCs w:val="21"/>
                <w:lang w:eastAsia="zh-CN"/>
              </w:rPr>
              <w:t>不包含：点钞机、复点机、自动柜员机（ATM）、清分机</w:t>
            </w: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rPr>
                <w:rFonts w:ascii="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3</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2</w:t>
            </w:r>
          </w:p>
        </w:tc>
        <w:tc>
          <w:tcPr>
            <w:tcW w:w="812"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ascii="黑体" w:eastAsia="黑体"/>
                <w:szCs w:val="21"/>
                <w:lang w:eastAsia="zh-CN"/>
              </w:rPr>
              <w:t xml:space="preserve">4.3.1.2 </w:t>
            </w:r>
            <w:r>
              <w:rPr>
                <w:rFonts w:hint="eastAsia" w:ascii="黑体" w:eastAsia="黑体"/>
                <w:szCs w:val="21"/>
              </w:rPr>
              <w:t>POS机</w:t>
            </w:r>
          </w:p>
        </w:tc>
        <w:tc>
          <w:tcPr>
            <w:tcW w:w="2975" w:type="dxa"/>
            <w:tcBorders>
              <w:top w:val="single" w:color="auto" w:sz="4" w:space="0"/>
              <w:left w:val="single" w:color="auto" w:sz="4" w:space="0"/>
              <w:bottom w:val="single" w:color="auto" w:sz="4" w:space="0"/>
              <w:right w:val="nil"/>
            </w:tcBorders>
            <w:vAlign w:val="center"/>
          </w:tcPr>
          <w:p>
            <w:pPr>
              <w:rPr>
                <w:szCs w:val="21"/>
              </w:rPr>
            </w:pPr>
          </w:p>
        </w:tc>
        <w:tc>
          <w:tcPr>
            <w:tcW w:w="1191" w:type="dxa"/>
            <w:tcBorders>
              <w:top w:val="single" w:color="auto" w:sz="4" w:space="0"/>
              <w:left w:val="single" w:color="auto" w:sz="4" w:space="0"/>
              <w:bottom w:val="single" w:color="auto" w:sz="4" w:space="0"/>
              <w:right w:val="nil"/>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rPr>
                <w:rFonts w:ascii="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3</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3</w:t>
            </w:r>
          </w:p>
        </w:tc>
        <w:tc>
          <w:tcPr>
            <w:tcW w:w="812"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ascii="黑体" w:eastAsia="黑体"/>
                <w:szCs w:val="21"/>
                <w:lang w:eastAsia="zh-CN"/>
              </w:rPr>
              <w:t xml:space="preserve">4.3.1.3 </w:t>
            </w:r>
            <w:r>
              <w:rPr>
                <w:rFonts w:hint="eastAsia" w:ascii="黑体" w:eastAsia="黑体"/>
                <w:szCs w:val="21"/>
              </w:rPr>
              <w:t>税控机</w:t>
            </w:r>
          </w:p>
        </w:tc>
        <w:tc>
          <w:tcPr>
            <w:tcW w:w="2975" w:type="dxa"/>
            <w:tcBorders>
              <w:top w:val="single" w:color="auto" w:sz="4" w:space="0"/>
              <w:left w:val="single" w:color="auto" w:sz="4" w:space="0"/>
              <w:bottom w:val="single" w:color="auto" w:sz="4" w:space="0"/>
              <w:right w:val="nil"/>
            </w:tcBorders>
            <w:vAlign w:val="center"/>
          </w:tcPr>
          <w:p>
            <w:pPr>
              <w:rPr>
                <w:szCs w:val="21"/>
              </w:rPr>
            </w:pPr>
          </w:p>
        </w:tc>
        <w:tc>
          <w:tcPr>
            <w:tcW w:w="1191" w:type="dxa"/>
            <w:tcBorders>
              <w:top w:val="single" w:color="auto" w:sz="4" w:space="0"/>
              <w:left w:val="single" w:color="auto" w:sz="4" w:space="0"/>
              <w:bottom w:val="single" w:color="auto" w:sz="4" w:space="0"/>
              <w:right w:val="nil"/>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47" w:type="dxa"/>
            <w:tcBorders>
              <w:top w:val="single" w:color="auto" w:sz="8" w:space="0"/>
              <w:left w:val="nil"/>
              <w:bottom w:val="single" w:color="auto" w:sz="8" w:space="0"/>
              <w:right w:val="single" w:color="auto" w:sz="4" w:space="0"/>
            </w:tcBorders>
            <w:vAlign w:val="center"/>
          </w:tcPr>
          <w:p>
            <w:pPr>
              <w:rPr>
                <w:rFonts w:ascii="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3</w:t>
            </w:r>
            <w:r>
              <w:rPr>
                <w:rFonts w:hint="eastAsia"/>
                <w:bCs/>
                <w:szCs w:val="21"/>
              </w:rPr>
              <w:t>0</w:t>
            </w:r>
            <w:r>
              <w:rPr>
                <w:rFonts w:hint="eastAsia"/>
                <w:bCs/>
                <w:szCs w:val="21"/>
                <w:lang w:eastAsia="zh-CN"/>
              </w:rPr>
              <w:t>2</w:t>
            </w:r>
            <w:r>
              <w:rPr>
                <w:rFonts w:hint="eastAsia"/>
                <w:bCs/>
                <w:szCs w:val="21"/>
              </w:rPr>
              <w:t>0</w:t>
            </w:r>
            <w:r>
              <w:rPr>
                <w:rFonts w:hint="eastAsia"/>
                <w:bCs/>
                <w:szCs w:val="21"/>
                <w:lang w:eastAsia="zh-CN"/>
              </w:rPr>
              <w:t>0</w:t>
            </w:r>
          </w:p>
        </w:tc>
        <w:tc>
          <w:tcPr>
            <w:tcW w:w="812" w:type="dxa"/>
            <w:tcBorders>
              <w:top w:val="single" w:color="auto" w:sz="8" w:space="0"/>
              <w:left w:val="nil"/>
              <w:bottom w:val="single" w:color="auto" w:sz="8" w:space="0"/>
              <w:right w:val="single" w:color="auto" w:sz="4" w:space="0"/>
            </w:tcBorders>
            <w:vAlign w:val="center"/>
          </w:tcPr>
          <w:p>
            <w:pPr>
              <w:rPr>
                <w:rFonts w:ascii="黑体" w:eastAsia="黑体"/>
                <w:szCs w:val="21"/>
              </w:rPr>
            </w:pPr>
          </w:p>
        </w:tc>
        <w:tc>
          <w:tcPr>
            <w:tcW w:w="2900"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ascii="黑体" w:eastAsia="黑体"/>
                <w:szCs w:val="21"/>
                <w:lang w:eastAsia="zh-CN"/>
              </w:rPr>
              <w:t xml:space="preserve">4.3.2 </w:t>
            </w:r>
            <w:r>
              <w:rPr>
                <w:rFonts w:hint="eastAsia" w:ascii="黑体" w:eastAsia="黑体"/>
                <w:szCs w:val="21"/>
              </w:rPr>
              <w:t>汽车电子</w:t>
            </w:r>
          </w:p>
        </w:tc>
        <w:tc>
          <w:tcPr>
            <w:tcW w:w="2975" w:type="dxa"/>
            <w:tcBorders>
              <w:top w:val="single" w:color="auto" w:sz="4" w:space="0"/>
              <w:left w:val="single" w:color="auto" w:sz="4" w:space="0"/>
              <w:bottom w:val="single" w:color="auto" w:sz="4" w:space="0"/>
              <w:right w:val="nil"/>
            </w:tcBorders>
            <w:vAlign w:val="center"/>
          </w:tcPr>
          <w:p>
            <w:pPr>
              <w:rPr>
                <w:szCs w:val="21"/>
              </w:rPr>
            </w:pP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tcPr>
          <w:p>
            <w:pPr>
              <w:rPr>
                <w:rFonts w:ascii="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3</w:t>
            </w:r>
            <w:r>
              <w:rPr>
                <w:rFonts w:hint="eastAsia"/>
                <w:bCs/>
                <w:szCs w:val="21"/>
              </w:rPr>
              <w:t>0</w:t>
            </w:r>
            <w:r>
              <w:rPr>
                <w:rFonts w:hint="eastAsia"/>
                <w:bCs/>
                <w:szCs w:val="21"/>
                <w:lang w:eastAsia="zh-CN"/>
              </w:rPr>
              <w:t>2</w:t>
            </w:r>
            <w:r>
              <w:rPr>
                <w:rFonts w:hint="eastAsia"/>
                <w:bCs/>
                <w:szCs w:val="21"/>
              </w:rPr>
              <w:t>0</w:t>
            </w:r>
            <w:r>
              <w:rPr>
                <w:rFonts w:hint="eastAsia"/>
                <w:bCs/>
                <w:szCs w:val="21"/>
                <w:lang w:eastAsia="zh-CN"/>
              </w:rPr>
              <w:t>1</w:t>
            </w:r>
          </w:p>
        </w:tc>
        <w:tc>
          <w:tcPr>
            <w:tcW w:w="812" w:type="dxa"/>
            <w:tcBorders>
              <w:top w:val="single" w:color="auto" w:sz="8" w:space="0"/>
              <w:left w:val="nil"/>
              <w:bottom w:val="single" w:color="auto" w:sz="8" w:space="0"/>
              <w:right w:val="single" w:color="auto" w:sz="4" w:space="0"/>
            </w:tcBorders>
          </w:tcPr>
          <w:p>
            <w:pPr>
              <w:rPr>
                <w:rFonts w:ascii="黑体" w:eastAsia="黑体"/>
                <w:szCs w:val="21"/>
                <w:lang w:eastAsia="zh-CN"/>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tcPr>
          <w:p>
            <w:pPr>
              <w:rPr>
                <w:rFonts w:ascii="黑体" w:eastAsia="黑体"/>
                <w:szCs w:val="21"/>
                <w:lang w:eastAsia="zh-CN"/>
              </w:rPr>
            </w:pPr>
            <w:r>
              <w:rPr>
                <w:rFonts w:hint="eastAsia" w:ascii="黑体" w:eastAsia="黑体"/>
                <w:szCs w:val="21"/>
                <w:lang w:eastAsia="zh-CN"/>
              </w:rPr>
              <w:t>4.3.2.1 动力总成控制系统</w:t>
            </w:r>
          </w:p>
        </w:tc>
        <w:tc>
          <w:tcPr>
            <w:tcW w:w="2975" w:type="dxa"/>
            <w:tcBorders>
              <w:top w:val="single" w:color="auto" w:sz="4" w:space="0"/>
              <w:left w:val="single" w:color="auto" w:sz="4" w:space="0"/>
              <w:bottom w:val="single" w:color="auto" w:sz="4" w:space="0"/>
              <w:right w:val="nil"/>
            </w:tcBorders>
            <w:vAlign w:val="center"/>
          </w:tcPr>
          <w:p>
            <w:pPr>
              <w:rPr>
                <w:szCs w:val="21"/>
                <w:lang w:eastAsia="zh-CN"/>
              </w:rPr>
            </w:pP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tcPr>
          <w:p>
            <w:pPr>
              <w:rPr>
                <w:rFonts w:ascii="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3</w:t>
            </w:r>
            <w:r>
              <w:rPr>
                <w:rFonts w:hint="eastAsia"/>
                <w:bCs/>
                <w:szCs w:val="21"/>
              </w:rPr>
              <w:t>0</w:t>
            </w:r>
            <w:r>
              <w:rPr>
                <w:rFonts w:hint="eastAsia"/>
                <w:bCs/>
                <w:szCs w:val="21"/>
                <w:lang w:eastAsia="zh-CN"/>
              </w:rPr>
              <w:t>2</w:t>
            </w:r>
            <w:r>
              <w:rPr>
                <w:rFonts w:hint="eastAsia"/>
                <w:bCs/>
                <w:szCs w:val="21"/>
              </w:rPr>
              <w:t>0</w:t>
            </w:r>
            <w:r>
              <w:rPr>
                <w:rFonts w:hint="eastAsia"/>
                <w:bCs/>
                <w:szCs w:val="21"/>
                <w:lang w:eastAsia="zh-CN"/>
              </w:rPr>
              <w:t>2</w:t>
            </w:r>
          </w:p>
        </w:tc>
        <w:tc>
          <w:tcPr>
            <w:tcW w:w="812" w:type="dxa"/>
            <w:tcBorders>
              <w:top w:val="single" w:color="auto" w:sz="8" w:space="0"/>
              <w:left w:val="nil"/>
              <w:bottom w:val="single" w:color="auto" w:sz="8" w:space="0"/>
              <w:right w:val="single" w:color="auto" w:sz="4" w:space="0"/>
            </w:tcBorders>
          </w:tcPr>
          <w:p>
            <w:pPr>
              <w:rPr>
                <w:rFonts w:ascii="黑体" w:eastAsia="黑体"/>
                <w:szCs w:val="21"/>
                <w:lang w:eastAsia="zh-CN"/>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tcPr>
          <w:p>
            <w:pPr>
              <w:rPr>
                <w:rFonts w:ascii="黑体" w:eastAsia="黑体"/>
                <w:szCs w:val="21"/>
                <w:lang w:eastAsia="zh-CN"/>
              </w:rPr>
            </w:pPr>
            <w:r>
              <w:rPr>
                <w:rFonts w:hint="eastAsia" w:ascii="黑体" w:eastAsia="黑体"/>
                <w:szCs w:val="21"/>
                <w:lang w:eastAsia="zh-CN"/>
              </w:rPr>
              <w:t>4.3.2.2 电机控制系统</w:t>
            </w:r>
          </w:p>
        </w:tc>
        <w:tc>
          <w:tcPr>
            <w:tcW w:w="2975" w:type="dxa"/>
            <w:tcBorders>
              <w:top w:val="single" w:color="auto" w:sz="4" w:space="0"/>
              <w:left w:val="single" w:color="auto" w:sz="4" w:space="0"/>
              <w:bottom w:val="single" w:color="auto" w:sz="4" w:space="0"/>
              <w:right w:val="nil"/>
            </w:tcBorders>
            <w:vAlign w:val="center"/>
          </w:tcPr>
          <w:p>
            <w:pPr>
              <w:rPr>
                <w:szCs w:val="21"/>
                <w:lang w:eastAsia="zh-CN"/>
              </w:rPr>
            </w:pP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jc w:val="both"/>
              <w:rPr>
                <w:rFonts w:ascii="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3</w:t>
            </w:r>
            <w:r>
              <w:rPr>
                <w:rFonts w:hint="eastAsia"/>
                <w:bCs/>
                <w:szCs w:val="21"/>
              </w:rPr>
              <w:t>0</w:t>
            </w:r>
            <w:r>
              <w:rPr>
                <w:rFonts w:hint="eastAsia"/>
                <w:bCs/>
                <w:szCs w:val="21"/>
                <w:lang w:eastAsia="zh-CN"/>
              </w:rPr>
              <w:t>2</w:t>
            </w:r>
            <w:r>
              <w:rPr>
                <w:rFonts w:hint="eastAsia"/>
                <w:bCs/>
                <w:szCs w:val="21"/>
              </w:rPr>
              <w:t>0</w:t>
            </w:r>
            <w:r>
              <w:rPr>
                <w:rFonts w:hint="eastAsia"/>
                <w:bCs/>
                <w:szCs w:val="21"/>
                <w:lang w:eastAsia="zh-CN"/>
              </w:rPr>
              <w:t>3</w:t>
            </w:r>
          </w:p>
        </w:tc>
        <w:tc>
          <w:tcPr>
            <w:tcW w:w="812"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tcPr>
          <w:p>
            <w:pPr>
              <w:rPr>
                <w:rFonts w:ascii="黑体" w:eastAsia="黑体"/>
                <w:szCs w:val="21"/>
                <w:lang w:eastAsia="zh-CN"/>
              </w:rPr>
            </w:pPr>
            <w:r>
              <w:rPr>
                <w:rFonts w:hint="eastAsia" w:ascii="黑体" w:eastAsia="黑体"/>
                <w:szCs w:val="21"/>
                <w:lang w:eastAsia="zh-CN"/>
              </w:rPr>
              <w:t>4.3.2.3 制动防抱死系统(ABS)</w:t>
            </w:r>
          </w:p>
        </w:tc>
        <w:tc>
          <w:tcPr>
            <w:tcW w:w="2975" w:type="dxa"/>
            <w:tcBorders>
              <w:top w:val="single" w:color="auto" w:sz="4" w:space="0"/>
              <w:left w:val="single" w:color="auto" w:sz="4" w:space="0"/>
              <w:bottom w:val="single" w:color="auto" w:sz="4" w:space="0"/>
              <w:right w:val="nil"/>
            </w:tcBorders>
            <w:vAlign w:val="center"/>
          </w:tcPr>
          <w:p>
            <w:pPr>
              <w:rPr>
                <w:szCs w:val="21"/>
                <w:lang w:eastAsia="zh-CN"/>
              </w:rPr>
            </w:pP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47" w:type="dxa"/>
            <w:tcBorders>
              <w:top w:val="single" w:color="auto" w:sz="8" w:space="0"/>
              <w:left w:val="nil"/>
              <w:bottom w:val="single" w:color="auto" w:sz="8" w:space="0"/>
              <w:right w:val="single" w:color="auto" w:sz="4" w:space="0"/>
            </w:tcBorders>
            <w:vAlign w:val="center"/>
          </w:tcPr>
          <w:p>
            <w:pPr>
              <w:jc w:val="both"/>
              <w:rPr>
                <w:rFonts w:ascii="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3</w:t>
            </w:r>
            <w:r>
              <w:rPr>
                <w:rFonts w:hint="eastAsia"/>
                <w:bCs/>
                <w:szCs w:val="21"/>
              </w:rPr>
              <w:t>0</w:t>
            </w:r>
            <w:r>
              <w:rPr>
                <w:rFonts w:hint="eastAsia"/>
                <w:bCs/>
                <w:szCs w:val="21"/>
                <w:lang w:eastAsia="zh-CN"/>
              </w:rPr>
              <w:t>2</w:t>
            </w:r>
            <w:r>
              <w:rPr>
                <w:rFonts w:hint="eastAsia"/>
                <w:bCs/>
                <w:szCs w:val="21"/>
              </w:rPr>
              <w:t>0</w:t>
            </w:r>
            <w:r>
              <w:rPr>
                <w:rFonts w:hint="eastAsia"/>
                <w:bCs/>
                <w:szCs w:val="21"/>
                <w:lang w:eastAsia="zh-CN"/>
              </w:rPr>
              <w:t>4</w:t>
            </w:r>
          </w:p>
        </w:tc>
        <w:tc>
          <w:tcPr>
            <w:tcW w:w="812"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tcPr>
          <w:p>
            <w:pPr>
              <w:rPr>
                <w:rFonts w:ascii="黑体" w:eastAsia="黑体"/>
                <w:szCs w:val="21"/>
                <w:lang w:eastAsia="zh-CN"/>
              </w:rPr>
            </w:pPr>
            <w:r>
              <w:rPr>
                <w:rFonts w:hint="eastAsia" w:ascii="黑体" w:eastAsia="黑体"/>
                <w:szCs w:val="21"/>
                <w:lang w:eastAsia="zh-CN"/>
              </w:rPr>
              <w:t>4.3.2.4 电子制动力分配系统(EBD)</w:t>
            </w:r>
          </w:p>
        </w:tc>
        <w:tc>
          <w:tcPr>
            <w:tcW w:w="2975" w:type="dxa"/>
            <w:tcBorders>
              <w:top w:val="single" w:color="auto" w:sz="4" w:space="0"/>
              <w:left w:val="single" w:color="auto" w:sz="4" w:space="0"/>
              <w:bottom w:val="single" w:color="auto" w:sz="4" w:space="0"/>
              <w:right w:val="nil"/>
            </w:tcBorders>
            <w:vAlign w:val="center"/>
          </w:tcPr>
          <w:p>
            <w:pPr>
              <w:rPr>
                <w:szCs w:val="21"/>
                <w:lang w:eastAsia="zh-CN"/>
              </w:rPr>
            </w:pP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tcPr>
          <w:p>
            <w:pPr>
              <w:rPr>
                <w:rFonts w:ascii="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3</w:t>
            </w:r>
            <w:r>
              <w:rPr>
                <w:rFonts w:hint="eastAsia"/>
                <w:bCs/>
                <w:szCs w:val="21"/>
              </w:rPr>
              <w:t>0</w:t>
            </w:r>
            <w:r>
              <w:rPr>
                <w:rFonts w:hint="eastAsia"/>
                <w:bCs/>
                <w:szCs w:val="21"/>
                <w:lang w:eastAsia="zh-CN"/>
              </w:rPr>
              <w:t>2</w:t>
            </w:r>
            <w:r>
              <w:rPr>
                <w:rFonts w:hint="eastAsia"/>
                <w:bCs/>
                <w:szCs w:val="21"/>
              </w:rPr>
              <w:t>0</w:t>
            </w:r>
            <w:r>
              <w:rPr>
                <w:rFonts w:hint="eastAsia"/>
                <w:bCs/>
                <w:szCs w:val="21"/>
                <w:lang w:eastAsia="zh-CN"/>
              </w:rPr>
              <w:t>5</w:t>
            </w:r>
          </w:p>
        </w:tc>
        <w:tc>
          <w:tcPr>
            <w:tcW w:w="812" w:type="dxa"/>
            <w:tcBorders>
              <w:top w:val="single" w:color="auto" w:sz="8" w:space="0"/>
              <w:left w:val="nil"/>
              <w:bottom w:val="single" w:color="auto" w:sz="8" w:space="0"/>
              <w:right w:val="single" w:color="auto" w:sz="4" w:space="0"/>
            </w:tcBorders>
          </w:tcPr>
          <w:p>
            <w:pPr>
              <w:rPr>
                <w:rFonts w:ascii="黑体" w:eastAsia="黑体"/>
                <w:szCs w:val="21"/>
                <w:lang w:eastAsia="zh-CN"/>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tcPr>
          <w:p>
            <w:pPr>
              <w:rPr>
                <w:rFonts w:ascii="黑体" w:eastAsia="黑体"/>
                <w:szCs w:val="21"/>
                <w:lang w:eastAsia="zh-CN"/>
              </w:rPr>
            </w:pPr>
            <w:r>
              <w:rPr>
                <w:rFonts w:hint="eastAsia" w:ascii="黑体" w:eastAsia="黑体"/>
                <w:szCs w:val="21"/>
                <w:lang w:eastAsia="zh-CN"/>
              </w:rPr>
              <w:t>4.3.2.5 电驱动控制系统</w:t>
            </w:r>
          </w:p>
        </w:tc>
        <w:tc>
          <w:tcPr>
            <w:tcW w:w="2975" w:type="dxa"/>
            <w:tcBorders>
              <w:top w:val="single" w:color="auto" w:sz="4" w:space="0"/>
              <w:left w:val="single" w:color="auto" w:sz="4" w:space="0"/>
              <w:bottom w:val="single" w:color="auto" w:sz="4" w:space="0"/>
              <w:right w:val="nil"/>
            </w:tcBorders>
            <w:vAlign w:val="center"/>
          </w:tcPr>
          <w:p>
            <w:pPr>
              <w:rPr>
                <w:szCs w:val="21"/>
                <w:lang w:eastAsia="zh-CN"/>
              </w:rPr>
            </w:pP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jc w:val="both"/>
              <w:rPr>
                <w:rFonts w:ascii="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3</w:t>
            </w:r>
            <w:r>
              <w:rPr>
                <w:rFonts w:hint="eastAsia"/>
                <w:bCs/>
                <w:szCs w:val="21"/>
              </w:rPr>
              <w:t>0</w:t>
            </w:r>
            <w:r>
              <w:rPr>
                <w:rFonts w:hint="eastAsia"/>
                <w:bCs/>
                <w:szCs w:val="21"/>
                <w:lang w:eastAsia="zh-CN"/>
              </w:rPr>
              <w:t>2</w:t>
            </w:r>
            <w:r>
              <w:rPr>
                <w:rFonts w:hint="eastAsia"/>
                <w:bCs/>
                <w:szCs w:val="21"/>
              </w:rPr>
              <w:t>0</w:t>
            </w:r>
            <w:r>
              <w:rPr>
                <w:rFonts w:hint="eastAsia"/>
                <w:bCs/>
                <w:szCs w:val="21"/>
                <w:lang w:eastAsia="zh-CN"/>
              </w:rPr>
              <w:t>6</w:t>
            </w:r>
          </w:p>
        </w:tc>
        <w:tc>
          <w:tcPr>
            <w:tcW w:w="812"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szCs w:val="21"/>
                <w:lang w:eastAsia="zh-CN"/>
              </w:rPr>
              <w:t>4.3.2.6 电机驱动控制系统（新能源）</w:t>
            </w:r>
          </w:p>
        </w:tc>
        <w:tc>
          <w:tcPr>
            <w:tcW w:w="2975" w:type="dxa"/>
            <w:tcBorders>
              <w:top w:val="single" w:color="auto" w:sz="4" w:space="0"/>
              <w:left w:val="single" w:color="auto" w:sz="4" w:space="0"/>
              <w:bottom w:val="single" w:color="auto" w:sz="4" w:space="0"/>
              <w:right w:val="nil"/>
            </w:tcBorders>
          </w:tcPr>
          <w:p>
            <w:pPr>
              <w:rPr>
                <w:szCs w:val="21"/>
                <w:lang w:eastAsia="zh-CN"/>
              </w:rPr>
            </w:pPr>
            <w:r>
              <w:rPr>
                <w:rFonts w:hint="eastAsia"/>
                <w:szCs w:val="21"/>
                <w:lang w:eastAsia="zh-CN"/>
              </w:rPr>
              <w:t>包含逆变器、逆变驱动器、电源模块、中央控制模块、软启动模块、保护模块、散热系统信号检测模块等</w:t>
            </w: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jc w:val="both"/>
              <w:rPr>
                <w:rFonts w:ascii="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3</w:t>
            </w:r>
            <w:r>
              <w:rPr>
                <w:rFonts w:hint="eastAsia"/>
                <w:bCs/>
                <w:szCs w:val="21"/>
              </w:rPr>
              <w:t>0</w:t>
            </w:r>
            <w:r>
              <w:rPr>
                <w:rFonts w:hint="eastAsia"/>
                <w:bCs/>
                <w:szCs w:val="21"/>
                <w:lang w:eastAsia="zh-CN"/>
              </w:rPr>
              <w:t>2</w:t>
            </w:r>
            <w:r>
              <w:rPr>
                <w:rFonts w:hint="eastAsia"/>
                <w:bCs/>
                <w:szCs w:val="21"/>
              </w:rPr>
              <w:t>0</w:t>
            </w:r>
            <w:r>
              <w:rPr>
                <w:rFonts w:hint="eastAsia"/>
                <w:bCs/>
                <w:szCs w:val="21"/>
                <w:lang w:eastAsia="zh-CN"/>
              </w:rPr>
              <w:t>7</w:t>
            </w:r>
          </w:p>
        </w:tc>
        <w:tc>
          <w:tcPr>
            <w:tcW w:w="812"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szCs w:val="21"/>
                <w:lang w:eastAsia="zh-CN"/>
              </w:rPr>
              <w:t>4.3.2.7 整车控制系统</w:t>
            </w:r>
          </w:p>
        </w:tc>
        <w:tc>
          <w:tcPr>
            <w:tcW w:w="2975" w:type="dxa"/>
            <w:tcBorders>
              <w:top w:val="single" w:color="auto" w:sz="4" w:space="0"/>
              <w:left w:val="single" w:color="auto" w:sz="4" w:space="0"/>
              <w:bottom w:val="single" w:color="auto" w:sz="4" w:space="0"/>
              <w:right w:val="nil"/>
            </w:tcBorders>
          </w:tcPr>
          <w:p>
            <w:pPr>
              <w:rPr>
                <w:szCs w:val="21"/>
                <w:lang w:eastAsia="zh-CN"/>
              </w:rPr>
            </w:pPr>
            <w:r>
              <w:rPr>
                <w:rFonts w:hint="eastAsia"/>
                <w:szCs w:val="21"/>
                <w:lang w:eastAsia="zh-CN"/>
              </w:rPr>
              <w:t>包含电池管理系统、整车控制器、启停系统、主电机控制器等</w:t>
            </w: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47" w:type="dxa"/>
            <w:tcBorders>
              <w:top w:val="single" w:color="auto" w:sz="8" w:space="0"/>
              <w:left w:val="nil"/>
              <w:bottom w:val="single" w:color="auto" w:sz="8" w:space="0"/>
              <w:right w:val="single" w:color="auto" w:sz="4" w:space="0"/>
            </w:tcBorders>
            <w:vAlign w:val="center"/>
          </w:tcPr>
          <w:p>
            <w:pPr>
              <w:jc w:val="both"/>
              <w:rPr>
                <w:rFonts w:ascii="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3</w:t>
            </w:r>
            <w:r>
              <w:rPr>
                <w:rFonts w:hint="eastAsia"/>
                <w:bCs/>
                <w:szCs w:val="21"/>
              </w:rPr>
              <w:t>0</w:t>
            </w:r>
            <w:r>
              <w:rPr>
                <w:rFonts w:hint="eastAsia"/>
                <w:bCs/>
                <w:szCs w:val="21"/>
                <w:lang w:eastAsia="zh-CN"/>
              </w:rPr>
              <w:t>2</w:t>
            </w:r>
            <w:r>
              <w:rPr>
                <w:rFonts w:hint="eastAsia"/>
                <w:bCs/>
                <w:szCs w:val="21"/>
              </w:rPr>
              <w:t>0</w:t>
            </w:r>
            <w:r>
              <w:rPr>
                <w:rFonts w:hint="eastAsia"/>
                <w:bCs/>
                <w:szCs w:val="21"/>
                <w:lang w:eastAsia="zh-CN"/>
              </w:rPr>
              <w:t>8</w:t>
            </w:r>
          </w:p>
        </w:tc>
        <w:tc>
          <w:tcPr>
            <w:tcW w:w="812"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szCs w:val="21"/>
                <w:lang w:eastAsia="zh-CN"/>
              </w:rPr>
              <w:t>4.3.2.8 电池管理系统</w:t>
            </w:r>
          </w:p>
        </w:tc>
        <w:tc>
          <w:tcPr>
            <w:tcW w:w="2975" w:type="dxa"/>
            <w:tcBorders>
              <w:top w:val="single" w:color="auto" w:sz="4" w:space="0"/>
              <w:left w:val="single" w:color="auto" w:sz="4" w:space="0"/>
              <w:bottom w:val="single" w:color="auto" w:sz="4" w:space="0"/>
              <w:right w:val="nil"/>
            </w:tcBorders>
          </w:tcPr>
          <w:p>
            <w:pPr>
              <w:rPr>
                <w:szCs w:val="21"/>
                <w:lang w:eastAsia="zh-CN"/>
              </w:rPr>
            </w:pPr>
            <w:r>
              <w:rPr>
                <w:rFonts w:hint="eastAsia"/>
                <w:szCs w:val="21"/>
                <w:lang w:eastAsia="zh-CN"/>
              </w:rPr>
              <w:t>包含电池控制单元、检测处理单元</w:t>
            </w: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jc w:val="both"/>
              <w:rPr>
                <w:rFonts w:ascii="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3</w:t>
            </w:r>
            <w:r>
              <w:rPr>
                <w:rFonts w:hint="eastAsia"/>
                <w:bCs/>
                <w:szCs w:val="21"/>
              </w:rPr>
              <w:t>0</w:t>
            </w:r>
            <w:r>
              <w:rPr>
                <w:rFonts w:hint="eastAsia"/>
                <w:bCs/>
                <w:szCs w:val="21"/>
                <w:lang w:eastAsia="zh-CN"/>
              </w:rPr>
              <w:t>2</w:t>
            </w:r>
            <w:r>
              <w:rPr>
                <w:rFonts w:hint="eastAsia"/>
                <w:bCs/>
                <w:szCs w:val="21"/>
              </w:rPr>
              <w:t>0</w:t>
            </w:r>
            <w:r>
              <w:rPr>
                <w:rFonts w:hint="eastAsia"/>
                <w:bCs/>
                <w:szCs w:val="21"/>
                <w:lang w:eastAsia="zh-CN"/>
              </w:rPr>
              <w:t>9</w:t>
            </w:r>
          </w:p>
        </w:tc>
        <w:tc>
          <w:tcPr>
            <w:tcW w:w="812"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szCs w:val="21"/>
                <w:lang w:eastAsia="zh-CN"/>
              </w:rPr>
              <w:t>4.3.2.9 新能源汽车高压电气系统</w:t>
            </w:r>
          </w:p>
        </w:tc>
        <w:tc>
          <w:tcPr>
            <w:tcW w:w="2975" w:type="dxa"/>
            <w:tcBorders>
              <w:top w:val="single" w:color="auto" w:sz="4" w:space="0"/>
              <w:left w:val="single" w:color="auto" w:sz="4" w:space="0"/>
              <w:bottom w:val="single" w:color="auto" w:sz="4" w:space="0"/>
              <w:right w:val="nil"/>
            </w:tcBorders>
          </w:tcPr>
          <w:p>
            <w:pPr>
              <w:rPr>
                <w:szCs w:val="21"/>
                <w:lang w:eastAsia="zh-CN"/>
              </w:rPr>
            </w:pPr>
            <w:r>
              <w:rPr>
                <w:rFonts w:hint="eastAsia"/>
                <w:szCs w:val="21"/>
                <w:lang w:eastAsia="zh-CN"/>
              </w:rPr>
              <w:t>包含主电机控制器、直流电源变换器、转向系统控制器、制动系统控制器、汽车空调电源、动力电池、燃料电池</w:t>
            </w: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3</w:t>
            </w:r>
            <w:r>
              <w:rPr>
                <w:rFonts w:hint="eastAsia"/>
                <w:bCs/>
                <w:szCs w:val="21"/>
              </w:rPr>
              <w:t>0</w:t>
            </w:r>
            <w:r>
              <w:rPr>
                <w:rFonts w:hint="eastAsia"/>
                <w:bCs/>
                <w:szCs w:val="21"/>
                <w:lang w:eastAsia="zh-CN"/>
              </w:rPr>
              <w:t>300</w:t>
            </w:r>
          </w:p>
        </w:tc>
        <w:tc>
          <w:tcPr>
            <w:tcW w:w="812" w:type="dxa"/>
            <w:tcBorders>
              <w:top w:val="single" w:color="auto" w:sz="8" w:space="0"/>
              <w:left w:val="nil"/>
              <w:bottom w:val="single" w:color="auto" w:sz="8" w:space="0"/>
              <w:right w:val="single" w:color="auto" w:sz="4" w:space="0"/>
            </w:tcBorders>
            <w:vAlign w:val="center"/>
          </w:tcPr>
          <w:p>
            <w:pPr>
              <w:rPr>
                <w:rFonts w:ascii="黑体" w:eastAsia="黑体"/>
                <w:szCs w:val="21"/>
              </w:rPr>
            </w:pPr>
          </w:p>
        </w:tc>
        <w:tc>
          <w:tcPr>
            <w:tcW w:w="2900"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ascii="黑体" w:eastAsia="黑体"/>
                <w:szCs w:val="21"/>
                <w:lang w:eastAsia="zh-CN"/>
              </w:rPr>
              <w:t xml:space="preserve">4.3.3 </w:t>
            </w:r>
            <w:r>
              <w:rPr>
                <w:rFonts w:hint="eastAsia" w:ascii="黑体" w:eastAsia="黑体"/>
                <w:szCs w:val="21"/>
              </w:rPr>
              <w:t>智能交通</w:t>
            </w:r>
          </w:p>
        </w:tc>
        <w:tc>
          <w:tcPr>
            <w:tcW w:w="2975" w:type="dxa"/>
            <w:tcBorders>
              <w:top w:val="single" w:color="auto" w:sz="4" w:space="0"/>
              <w:left w:val="single" w:color="auto" w:sz="4" w:space="0"/>
              <w:bottom w:val="single" w:color="auto" w:sz="4" w:space="0"/>
              <w:right w:val="nil"/>
            </w:tcBorders>
            <w:vAlign w:val="center"/>
          </w:tcPr>
          <w:p>
            <w:pPr>
              <w:rPr>
                <w:szCs w:val="21"/>
              </w:rPr>
            </w:pPr>
          </w:p>
        </w:tc>
        <w:tc>
          <w:tcPr>
            <w:tcW w:w="1191" w:type="dxa"/>
            <w:tcBorders>
              <w:top w:val="single" w:color="auto" w:sz="4" w:space="0"/>
              <w:left w:val="single" w:color="auto" w:sz="4" w:space="0"/>
              <w:bottom w:val="single" w:color="auto" w:sz="4" w:space="0"/>
              <w:right w:val="nil"/>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3</w:t>
            </w:r>
            <w:r>
              <w:rPr>
                <w:rFonts w:hint="eastAsia"/>
                <w:bCs/>
                <w:szCs w:val="21"/>
              </w:rPr>
              <w:t>0</w:t>
            </w:r>
            <w:r>
              <w:rPr>
                <w:rFonts w:hint="eastAsia"/>
                <w:bCs/>
                <w:szCs w:val="21"/>
                <w:lang w:eastAsia="zh-CN"/>
              </w:rPr>
              <w:t>301</w:t>
            </w:r>
          </w:p>
        </w:tc>
        <w:tc>
          <w:tcPr>
            <w:tcW w:w="812"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ascii="黑体" w:eastAsia="黑体"/>
                <w:szCs w:val="21"/>
                <w:lang w:eastAsia="zh-CN"/>
              </w:rPr>
              <w:t xml:space="preserve">4.3.3.1 </w:t>
            </w:r>
            <w:r>
              <w:rPr>
                <w:rFonts w:hint="eastAsia" w:ascii="黑体" w:eastAsia="黑体"/>
                <w:szCs w:val="21"/>
              </w:rPr>
              <w:t>交通信号控制机</w:t>
            </w:r>
          </w:p>
        </w:tc>
        <w:tc>
          <w:tcPr>
            <w:tcW w:w="2975" w:type="dxa"/>
            <w:tcBorders>
              <w:top w:val="single" w:color="auto" w:sz="4" w:space="0"/>
              <w:left w:val="single" w:color="auto" w:sz="4" w:space="0"/>
              <w:bottom w:val="single" w:color="auto" w:sz="4" w:space="0"/>
              <w:right w:val="nil"/>
            </w:tcBorders>
            <w:vAlign w:val="center"/>
          </w:tcPr>
          <w:p>
            <w:pPr>
              <w:rPr>
                <w:szCs w:val="21"/>
                <w:lang w:eastAsia="zh-CN"/>
              </w:rPr>
            </w:pPr>
            <w:r>
              <w:rPr>
                <w:rFonts w:hint="eastAsia"/>
                <w:szCs w:val="21"/>
                <w:lang w:eastAsia="zh-CN"/>
              </w:rPr>
              <w:t>包含：行人过街触发式信号控制机、多时段定时式信号机、感应式信号机、集中协调式信号机</w:t>
            </w: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r>
              <w:rPr>
                <w:rFonts w:hint="eastAsia"/>
                <w:szCs w:val="21"/>
                <w:lang w:eastAsia="zh-CN"/>
              </w:rPr>
              <w:t>电子制造业制度中无对应项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47"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3</w:t>
            </w:r>
            <w:r>
              <w:rPr>
                <w:rFonts w:hint="eastAsia"/>
                <w:bCs/>
                <w:szCs w:val="21"/>
              </w:rPr>
              <w:t>0</w:t>
            </w:r>
            <w:r>
              <w:rPr>
                <w:rFonts w:hint="eastAsia"/>
                <w:bCs/>
                <w:szCs w:val="21"/>
                <w:lang w:eastAsia="zh-CN"/>
              </w:rPr>
              <w:t>400</w:t>
            </w:r>
          </w:p>
        </w:tc>
        <w:tc>
          <w:tcPr>
            <w:tcW w:w="812" w:type="dxa"/>
            <w:tcBorders>
              <w:top w:val="single" w:color="auto" w:sz="8" w:space="0"/>
              <w:left w:val="nil"/>
              <w:bottom w:val="single" w:color="auto" w:sz="8" w:space="0"/>
              <w:right w:val="single" w:color="auto" w:sz="4" w:space="0"/>
            </w:tcBorders>
            <w:vAlign w:val="center"/>
          </w:tcPr>
          <w:p>
            <w:pPr>
              <w:rPr>
                <w:rFonts w:ascii="黑体" w:eastAsia="黑体"/>
                <w:szCs w:val="21"/>
              </w:rPr>
            </w:pPr>
          </w:p>
        </w:tc>
        <w:tc>
          <w:tcPr>
            <w:tcW w:w="2900"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ascii="黑体" w:eastAsia="黑体"/>
                <w:szCs w:val="21"/>
                <w:lang w:eastAsia="zh-CN"/>
              </w:rPr>
              <w:t xml:space="preserve">4.3.4 </w:t>
            </w:r>
            <w:r>
              <w:rPr>
                <w:rFonts w:hint="eastAsia" w:ascii="黑体" w:eastAsia="黑体"/>
                <w:szCs w:val="21"/>
              </w:rPr>
              <w:t>医疗电子设备</w:t>
            </w:r>
          </w:p>
        </w:tc>
        <w:tc>
          <w:tcPr>
            <w:tcW w:w="2975" w:type="dxa"/>
            <w:tcBorders>
              <w:top w:val="single" w:color="auto" w:sz="4" w:space="0"/>
              <w:left w:val="single" w:color="auto" w:sz="4" w:space="0"/>
              <w:bottom w:val="single" w:color="auto" w:sz="4" w:space="0"/>
              <w:right w:val="nil"/>
            </w:tcBorders>
            <w:vAlign w:val="center"/>
          </w:tcPr>
          <w:p>
            <w:pPr>
              <w:rPr>
                <w:szCs w:val="21"/>
              </w:rPr>
            </w:pP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r>
              <w:rPr>
                <w:rFonts w:hint="eastAsia"/>
                <w:szCs w:val="21"/>
                <w:lang w:eastAsia="zh-CN"/>
              </w:rPr>
              <w:t>电子制造业制度中无对应项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rPr>
                <w:rFonts w:ascii="黑体" w:eastAsia="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3</w:t>
            </w:r>
            <w:r>
              <w:rPr>
                <w:rFonts w:hint="eastAsia"/>
                <w:bCs/>
                <w:szCs w:val="21"/>
              </w:rPr>
              <w:t>0</w:t>
            </w:r>
            <w:r>
              <w:rPr>
                <w:rFonts w:hint="eastAsia"/>
                <w:bCs/>
                <w:szCs w:val="21"/>
                <w:lang w:eastAsia="zh-CN"/>
              </w:rPr>
              <w:t>401</w:t>
            </w:r>
          </w:p>
        </w:tc>
        <w:tc>
          <w:tcPr>
            <w:tcW w:w="812" w:type="dxa"/>
            <w:tcBorders>
              <w:top w:val="single" w:color="auto" w:sz="8" w:space="0"/>
              <w:left w:val="nil"/>
              <w:bottom w:val="single" w:color="auto" w:sz="8" w:space="0"/>
              <w:right w:val="single" w:color="auto" w:sz="4" w:space="0"/>
            </w:tcBorders>
            <w:vAlign w:val="center"/>
          </w:tcPr>
          <w:p>
            <w:pPr>
              <w:rPr>
                <w:rFonts w:ascii="黑体" w:eastAsia="黑体"/>
                <w:szCs w:val="21"/>
                <w:lang w:eastAsia="zh-CN"/>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rPr>
                <w:rFonts w:ascii="黑体" w:eastAsia="黑体"/>
                <w:szCs w:val="21"/>
                <w:lang w:eastAsia="zh-CN"/>
              </w:rPr>
            </w:pPr>
            <w:r>
              <w:rPr>
                <w:rFonts w:hint="eastAsia" w:ascii="黑体" w:eastAsia="黑体"/>
                <w:szCs w:val="21"/>
                <w:lang w:eastAsia="zh-CN"/>
              </w:rPr>
              <w:t>4.3.4.1 医用电子仪器设备</w:t>
            </w:r>
          </w:p>
        </w:tc>
        <w:tc>
          <w:tcPr>
            <w:tcW w:w="2975" w:type="dxa"/>
            <w:tcBorders>
              <w:top w:val="single" w:color="auto" w:sz="4" w:space="0"/>
              <w:left w:val="single" w:color="auto" w:sz="4" w:space="0"/>
              <w:bottom w:val="single" w:color="auto" w:sz="4" w:space="0"/>
              <w:right w:val="nil"/>
            </w:tcBorders>
            <w:vAlign w:val="center"/>
          </w:tcPr>
          <w:p>
            <w:pPr>
              <w:rPr>
                <w:szCs w:val="21"/>
                <w:lang w:eastAsia="zh-CN"/>
              </w:rPr>
            </w:pPr>
            <w:r>
              <w:rPr>
                <w:rFonts w:hint="eastAsia"/>
                <w:szCs w:val="21"/>
                <w:lang w:eastAsia="zh-CN"/>
              </w:rPr>
              <w:t>包含：心、脑、肌、眼设备，心电、生理示波及记录设备，监护设备，心电遥测设备，血液测定设备，气体分析设备</w:t>
            </w: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3</w:t>
            </w:r>
            <w:r>
              <w:rPr>
                <w:rFonts w:hint="eastAsia"/>
                <w:bCs/>
                <w:szCs w:val="21"/>
              </w:rPr>
              <w:t>0</w:t>
            </w:r>
            <w:r>
              <w:rPr>
                <w:rFonts w:hint="eastAsia"/>
                <w:bCs/>
                <w:szCs w:val="21"/>
                <w:lang w:eastAsia="zh-CN"/>
              </w:rPr>
              <w:t>402</w:t>
            </w:r>
          </w:p>
        </w:tc>
        <w:tc>
          <w:tcPr>
            <w:tcW w:w="812"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ascii="黑体" w:eastAsia="黑体"/>
                <w:szCs w:val="21"/>
                <w:lang w:eastAsia="zh-CN"/>
              </w:rPr>
              <w:t xml:space="preserve">4.3.4.2 </w:t>
            </w:r>
            <w:r>
              <w:rPr>
                <w:rFonts w:hint="eastAsia" w:ascii="黑体" w:eastAsia="黑体"/>
                <w:szCs w:val="21"/>
              </w:rPr>
              <w:t>医学影像设备</w:t>
            </w:r>
          </w:p>
        </w:tc>
        <w:tc>
          <w:tcPr>
            <w:tcW w:w="2975" w:type="dxa"/>
            <w:tcBorders>
              <w:top w:val="single" w:color="auto" w:sz="4" w:space="0"/>
              <w:left w:val="single" w:color="auto" w:sz="4" w:space="0"/>
              <w:bottom w:val="single" w:color="auto" w:sz="4" w:space="0"/>
              <w:right w:val="nil"/>
            </w:tcBorders>
            <w:vAlign w:val="center"/>
          </w:tcPr>
          <w:p>
            <w:pPr>
              <w:rPr>
                <w:szCs w:val="21"/>
                <w:lang w:eastAsia="zh-CN"/>
              </w:rPr>
            </w:pPr>
            <w:r>
              <w:rPr>
                <w:rFonts w:hint="eastAsia"/>
                <w:szCs w:val="21"/>
                <w:lang w:eastAsia="zh-CN"/>
              </w:rPr>
              <w:t>包含：医用X线机、磁共振成像设备、超声成像设备、核医学成像设备</w:t>
            </w: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3</w:t>
            </w:r>
            <w:r>
              <w:rPr>
                <w:rFonts w:hint="eastAsia"/>
                <w:bCs/>
                <w:szCs w:val="21"/>
              </w:rPr>
              <w:t>0</w:t>
            </w:r>
            <w:r>
              <w:rPr>
                <w:rFonts w:hint="eastAsia"/>
                <w:bCs/>
                <w:szCs w:val="21"/>
                <w:lang w:eastAsia="zh-CN"/>
              </w:rPr>
              <w:t>500</w:t>
            </w:r>
          </w:p>
        </w:tc>
        <w:tc>
          <w:tcPr>
            <w:tcW w:w="812"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ascii="黑体" w:eastAsia="黑体"/>
                <w:szCs w:val="21"/>
                <w:lang w:eastAsia="zh-CN"/>
              </w:rPr>
              <w:t xml:space="preserve">4.3.5 </w:t>
            </w:r>
            <w:r>
              <w:rPr>
                <w:rFonts w:hint="eastAsia" w:ascii="黑体" w:eastAsia="黑体"/>
                <w:szCs w:val="21"/>
              </w:rPr>
              <w:t>自动检售票设备</w:t>
            </w:r>
          </w:p>
        </w:tc>
        <w:tc>
          <w:tcPr>
            <w:tcW w:w="2975" w:type="dxa"/>
            <w:tcBorders>
              <w:top w:val="single" w:color="auto" w:sz="4" w:space="0"/>
              <w:left w:val="single" w:color="auto" w:sz="4" w:space="0"/>
              <w:bottom w:val="single" w:color="auto" w:sz="4" w:space="0"/>
              <w:right w:val="nil"/>
            </w:tcBorders>
            <w:vAlign w:val="center"/>
          </w:tcPr>
          <w:p>
            <w:pPr>
              <w:rPr>
                <w:szCs w:val="21"/>
                <w:lang w:eastAsia="zh-CN"/>
              </w:rPr>
            </w:pPr>
            <w:r>
              <w:rPr>
                <w:rFonts w:hint="eastAsia"/>
                <w:szCs w:val="21"/>
                <w:lang w:eastAsia="zh-CN"/>
              </w:rPr>
              <w:t>包含：自动售票机、自动检票机、自动加值机</w:t>
            </w: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47"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3</w:t>
            </w:r>
            <w:r>
              <w:rPr>
                <w:rFonts w:hint="eastAsia"/>
                <w:bCs/>
                <w:szCs w:val="21"/>
              </w:rPr>
              <w:t>0</w:t>
            </w:r>
            <w:r>
              <w:rPr>
                <w:rFonts w:hint="eastAsia"/>
                <w:bCs/>
                <w:szCs w:val="21"/>
                <w:lang w:eastAsia="zh-CN"/>
              </w:rPr>
              <w:t>600</w:t>
            </w:r>
          </w:p>
        </w:tc>
        <w:tc>
          <w:tcPr>
            <w:tcW w:w="812"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ascii="黑体" w:eastAsia="黑体"/>
                <w:szCs w:val="21"/>
                <w:lang w:eastAsia="zh-CN"/>
              </w:rPr>
              <w:t xml:space="preserve">4.3.6 </w:t>
            </w:r>
            <w:r>
              <w:rPr>
                <w:rFonts w:hint="eastAsia" w:ascii="黑体" w:eastAsia="黑体"/>
                <w:szCs w:val="21"/>
              </w:rPr>
              <w:t>超大屏幕控制器</w:t>
            </w:r>
          </w:p>
        </w:tc>
        <w:tc>
          <w:tcPr>
            <w:tcW w:w="2975" w:type="dxa"/>
            <w:tcBorders>
              <w:top w:val="single" w:color="auto" w:sz="4" w:space="0"/>
              <w:left w:val="single" w:color="auto" w:sz="4" w:space="0"/>
              <w:bottom w:val="single" w:color="auto" w:sz="4" w:space="0"/>
              <w:right w:val="nil"/>
            </w:tcBorders>
            <w:vAlign w:val="center"/>
          </w:tcPr>
          <w:p>
            <w:pPr>
              <w:rPr>
                <w:szCs w:val="21"/>
              </w:rPr>
            </w:pPr>
          </w:p>
        </w:tc>
        <w:tc>
          <w:tcPr>
            <w:tcW w:w="1191" w:type="dxa"/>
            <w:tcBorders>
              <w:top w:val="single" w:color="auto" w:sz="4" w:space="0"/>
              <w:left w:val="single" w:color="auto" w:sz="4" w:space="0"/>
              <w:bottom w:val="single" w:color="auto" w:sz="4" w:space="0"/>
              <w:right w:val="nil"/>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rPr>
                <w:rFonts w:ascii="黑体" w:eastAsia="黑体"/>
                <w:b/>
                <w:szCs w:val="21"/>
                <w:lang w:eastAsia="zh-CN"/>
              </w:rPr>
            </w:pPr>
            <w:r>
              <w:rPr>
                <w:rFonts w:hint="eastAsia"/>
                <w:b/>
                <w:szCs w:val="21"/>
              </w:rPr>
              <w:t>E</w:t>
            </w:r>
            <w:r>
              <w:rPr>
                <w:rFonts w:hint="eastAsia"/>
                <w:b/>
                <w:szCs w:val="21"/>
                <w:lang w:eastAsia="zh-CN"/>
              </w:rPr>
              <w:t>4</w:t>
            </w:r>
            <w:r>
              <w:rPr>
                <w:rFonts w:hint="eastAsia"/>
                <w:b/>
                <w:szCs w:val="21"/>
              </w:rPr>
              <w:t>0</w:t>
            </w:r>
            <w:r>
              <w:rPr>
                <w:rFonts w:hint="eastAsia"/>
                <w:b/>
                <w:szCs w:val="21"/>
                <w:lang w:eastAsia="zh-CN"/>
              </w:rPr>
              <w:t>1</w:t>
            </w:r>
            <w:r>
              <w:rPr>
                <w:rFonts w:hint="eastAsia"/>
                <w:b/>
                <w:szCs w:val="21"/>
              </w:rPr>
              <w:t>0</w:t>
            </w:r>
            <w:r>
              <w:rPr>
                <w:rFonts w:hint="eastAsia"/>
                <w:b/>
                <w:szCs w:val="21"/>
                <w:lang w:eastAsia="zh-CN"/>
              </w:rPr>
              <w:t>4</w:t>
            </w:r>
            <w:r>
              <w:rPr>
                <w:rFonts w:hint="eastAsia"/>
                <w:b/>
                <w:szCs w:val="21"/>
              </w:rPr>
              <w:t>0000</w:t>
            </w:r>
          </w:p>
        </w:tc>
        <w:tc>
          <w:tcPr>
            <w:tcW w:w="812" w:type="dxa"/>
            <w:tcBorders>
              <w:top w:val="single" w:color="auto" w:sz="8" w:space="0"/>
              <w:left w:val="nil"/>
              <w:bottom w:val="single" w:color="auto" w:sz="8" w:space="0"/>
              <w:right w:val="single" w:color="auto" w:sz="4" w:space="0"/>
            </w:tcBorders>
            <w:vAlign w:val="center"/>
          </w:tcPr>
          <w:p>
            <w:pPr>
              <w:rPr>
                <w:rFonts w:ascii="黑体" w:eastAsia="黑体"/>
                <w:b/>
                <w:szCs w:val="21"/>
                <w:lang w:eastAsia="zh-CN"/>
              </w:rPr>
            </w:pPr>
          </w:p>
        </w:tc>
        <w:tc>
          <w:tcPr>
            <w:tcW w:w="2900" w:type="dxa"/>
            <w:tcBorders>
              <w:top w:val="single" w:color="auto" w:sz="8" w:space="0"/>
              <w:left w:val="nil"/>
              <w:bottom w:val="single" w:color="auto" w:sz="8" w:space="0"/>
              <w:right w:val="single" w:color="auto" w:sz="4" w:space="0"/>
            </w:tcBorders>
            <w:vAlign w:val="center"/>
          </w:tcPr>
          <w:p>
            <w:pPr>
              <w:rPr>
                <w:rFonts w:ascii="黑体" w:eastAsia="黑体"/>
                <w:b/>
                <w:szCs w:val="21"/>
                <w:lang w:eastAsia="zh-CN"/>
              </w:rPr>
            </w:pPr>
            <w:r>
              <w:rPr>
                <w:rFonts w:hint="eastAsia" w:ascii="黑体" w:eastAsia="黑体"/>
                <w:b/>
                <w:szCs w:val="21"/>
                <w:lang w:eastAsia="zh-CN"/>
              </w:rPr>
              <w:t>4.4 信息系统安全产品</w:t>
            </w:r>
          </w:p>
        </w:tc>
        <w:tc>
          <w:tcPr>
            <w:tcW w:w="2975" w:type="dxa"/>
            <w:tcBorders>
              <w:top w:val="single" w:color="auto" w:sz="4" w:space="0"/>
              <w:left w:val="single" w:color="auto" w:sz="4" w:space="0"/>
              <w:bottom w:val="single" w:color="auto" w:sz="4" w:space="0"/>
              <w:right w:val="nil"/>
            </w:tcBorders>
            <w:vAlign w:val="center"/>
          </w:tcPr>
          <w:p>
            <w:pPr>
              <w:rPr>
                <w:szCs w:val="21"/>
                <w:lang w:eastAsia="zh-CN"/>
              </w:rPr>
            </w:pPr>
            <w:r>
              <w:rPr>
                <w:rFonts w:hint="eastAsia"/>
                <w:szCs w:val="21"/>
                <w:lang w:eastAsia="zh-CN"/>
              </w:rPr>
              <w:t>不包含：访问控制类设备和系统、数据保护类设备和系统、安全检测类设备和系统</w:t>
            </w: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rPr>
                <w:rFonts w:ascii="黑体" w:eastAsia="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00</w:t>
            </w:r>
          </w:p>
        </w:tc>
        <w:tc>
          <w:tcPr>
            <w:tcW w:w="812" w:type="dxa"/>
            <w:tcBorders>
              <w:top w:val="single" w:color="auto" w:sz="8" w:space="0"/>
              <w:left w:val="nil"/>
              <w:bottom w:val="single" w:color="auto" w:sz="8" w:space="0"/>
              <w:right w:val="single" w:color="auto" w:sz="4" w:space="0"/>
            </w:tcBorders>
            <w:vAlign w:val="center"/>
          </w:tcPr>
          <w:p>
            <w:pPr>
              <w:rPr>
                <w:rFonts w:ascii="黑体" w:eastAsia="黑体"/>
                <w:szCs w:val="21"/>
                <w:lang w:eastAsia="zh-CN"/>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rPr>
                <w:rFonts w:ascii="黑体" w:eastAsia="黑体"/>
                <w:szCs w:val="21"/>
                <w:lang w:eastAsia="zh-CN"/>
              </w:rPr>
            </w:pPr>
            <w:r>
              <w:rPr>
                <w:rFonts w:hint="eastAsia" w:ascii="黑体" w:eastAsia="黑体"/>
                <w:szCs w:val="21"/>
                <w:lang w:eastAsia="zh-CN"/>
              </w:rPr>
              <w:t>4.4.1 边界防护类设备和系统</w:t>
            </w:r>
          </w:p>
        </w:tc>
        <w:tc>
          <w:tcPr>
            <w:tcW w:w="2975" w:type="dxa"/>
            <w:tcBorders>
              <w:top w:val="single" w:color="auto" w:sz="4" w:space="0"/>
              <w:left w:val="single" w:color="auto" w:sz="4" w:space="0"/>
              <w:bottom w:val="single" w:color="auto" w:sz="4" w:space="0"/>
              <w:right w:val="nil"/>
            </w:tcBorders>
            <w:vAlign w:val="center"/>
          </w:tcPr>
          <w:p>
            <w:pPr>
              <w:rPr>
                <w:szCs w:val="21"/>
                <w:lang w:eastAsia="zh-CN"/>
              </w:rPr>
            </w:pPr>
            <w:r>
              <w:rPr>
                <w:rFonts w:hint="eastAsia"/>
                <w:szCs w:val="21"/>
                <w:lang w:eastAsia="zh-CN"/>
              </w:rPr>
              <w:t>包含：防火墙、防水墙、虚拟专用网设备（VPN）、抗拒绝服务(Dos)攻击系统</w:t>
            </w: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rPr>
                <w:rFonts w:ascii="黑体" w:eastAsia="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4</w:t>
            </w:r>
            <w:r>
              <w:rPr>
                <w:rFonts w:hint="eastAsia"/>
                <w:bCs/>
                <w:szCs w:val="21"/>
              </w:rPr>
              <w:t>0</w:t>
            </w:r>
            <w:r>
              <w:rPr>
                <w:rFonts w:hint="eastAsia"/>
                <w:bCs/>
                <w:szCs w:val="21"/>
                <w:lang w:eastAsia="zh-CN"/>
              </w:rPr>
              <w:t>2</w:t>
            </w:r>
            <w:r>
              <w:rPr>
                <w:rFonts w:hint="eastAsia"/>
                <w:bCs/>
                <w:szCs w:val="21"/>
              </w:rPr>
              <w:t>00</w:t>
            </w:r>
          </w:p>
        </w:tc>
        <w:tc>
          <w:tcPr>
            <w:tcW w:w="812" w:type="dxa"/>
            <w:tcBorders>
              <w:top w:val="single" w:color="auto" w:sz="8" w:space="0"/>
              <w:left w:val="nil"/>
              <w:bottom w:val="single" w:color="auto" w:sz="8" w:space="0"/>
              <w:right w:val="single" w:color="auto" w:sz="4" w:space="0"/>
            </w:tcBorders>
            <w:vAlign w:val="center"/>
          </w:tcPr>
          <w:p>
            <w:pPr>
              <w:rPr>
                <w:rFonts w:ascii="黑体" w:eastAsia="黑体"/>
                <w:szCs w:val="21"/>
                <w:lang w:eastAsia="zh-CN"/>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rPr>
                <w:rFonts w:ascii="黑体" w:eastAsia="黑体"/>
                <w:szCs w:val="21"/>
                <w:lang w:eastAsia="zh-CN"/>
              </w:rPr>
            </w:pPr>
            <w:r>
              <w:rPr>
                <w:rFonts w:hint="eastAsia" w:ascii="黑体" w:eastAsia="黑体"/>
                <w:szCs w:val="21"/>
                <w:lang w:eastAsia="zh-CN"/>
              </w:rPr>
              <w:t>4.4.2 密钥管理类设备和系统</w:t>
            </w:r>
          </w:p>
        </w:tc>
        <w:tc>
          <w:tcPr>
            <w:tcW w:w="2975" w:type="dxa"/>
            <w:tcBorders>
              <w:top w:val="single" w:color="auto" w:sz="4" w:space="0"/>
              <w:left w:val="single" w:color="auto" w:sz="4" w:space="0"/>
              <w:bottom w:val="single" w:color="auto" w:sz="4" w:space="0"/>
              <w:right w:val="nil"/>
            </w:tcBorders>
            <w:vAlign w:val="center"/>
          </w:tcPr>
          <w:p>
            <w:pPr>
              <w:rPr>
                <w:szCs w:val="21"/>
              </w:rPr>
            </w:pPr>
            <w:r>
              <w:rPr>
                <w:rFonts w:hint="eastAsia"/>
                <w:szCs w:val="21"/>
              </w:rPr>
              <w:t>包含：USB Key、动态口令卡</w:t>
            </w:r>
          </w:p>
        </w:tc>
        <w:tc>
          <w:tcPr>
            <w:tcW w:w="1191" w:type="dxa"/>
            <w:tcBorders>
              <w:top w:val="single" w:color="auto" w:sz="4" w:space="0"/>
              <w:left w:val="single" w:color="auto" w:sz="4" w:space="0"/>
              <w:bottom w:val="single" w:color="auto" w:sz="4" w:space="0"/>
              <w:right w:val="nil"/>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47" w:type="dxa"/>
            <w:tcBorders>
              <w:top w:val="single" w:color="auto" w:sz="8" w:space="0"/>
              <w:left w:val="nil"/>
              <w:bottom w:val="single" w:color="auto" w:sz="8" w:space="0"/>
              <w:right w:val="single" w:color="auto" w:sz="4" w:space="0"/>
            </w:tcBorders>
            <w:vAlign w:val="center"/>
          </w:tcPr>
          <w:p>
            <w:pPr>
              <w:rPr>
                <w:rFonts w:ascii="黑体" w:eastAsia="黑体"/>
                <w:b/>
                <w:szCs w:val="21"/>
                <w:lang w:eastAsia="zh-CN"/>
              </w:rPr>
            </w:pPr>
            <w:r>
              <w:rPr>
                <w:rFonts w:hint="eastAsia"/>
                <w:b/>
                <w:szCs w:val="21"/>
              </w:rPr>
              <w:t>E</w:t>
            </w:r>
            <w:r>
              <w:rPr>
                <w:rFonts w:hint="eastAsia"/>
                <w:b/>
                <w:szCs w:val="21"/>
                <w:lang w:eastAsia="zh-CN"/>
              </w:rPr>
              <w:t>4</w:t>
            </w:r>
            <w:r>
              <w:rPr>
                <w:rFonts w:hint="eastAsia"/>
                <w:b/>
                <w:szCs w:val="21"/>
              </w:rPr>
              <w:t>0</w:t>
            </w:r>
            <w:r>
              <w:rPr>
                <w:rFonts w:hint="eastAsia"/>
                <w:b/>
                <w:szCs w:val="21"/>
                <w:lang w:eastAsia="zh-CN"/>
              </w:rPr>
              <w:t>1</w:t>
            </w:r>
            <w:r>
              <w:rPr>
                <w:rFonts w:hint="eastAsia"/>
                <w:b/>
                <w:szCs w:val="21"/>
              </w:rPr>
              <w:t>0</w:t>
            </w:r>
            <w:r>
              <w:rPr>
                <w:rFonts w:hint="eastAsia"/>
                <w:b/>
                <w:szCs w:val="21"/>
                <w:lang w:eastAsia="zh-CN"/>
              </w:rPr>
              <w:t>5</w:t>
            </w:r>
            <w:r>
              <w:rPr>
                <w:rFonts w:hint="eastAsia"/>
                <w:b/>
                <w:szCs w:val="21"/>
              </w:rPr>
              <w:t>0000</w:t>
            </w:r>
          </w:p>
        </w:tc>
        <w:tc>
          <w:tcPr>
            <w:tcW w:w="812" w:type="dxa"/>
            <w:tcBorders>
              <w:top w:val="single" w:color="auto" w:sz="8" w:space="0"/>
              <w:left w:val="nil"/>
              <w:bottom w:val="single" w:color="auto" w:sz="8" w:space="0"/>
              <w:right w:val="single" w:color="auto" w:sz="4" w:space="0"/>
            </w:tcBorders>
            <w:vAlign w:val="center"/>
          </w:tcPr>
          <w:p>
            <w:pPr>
              <w:rPr>
                <w:rFonts w:ascii="黑体" w:eastAsia="黑体"/>
                <w:b/>
                <w:szCs w:val="21"/>
                <w:lang w:eastAsia="zh-CN"/>
              </w:rPr>
            </w:pPr>
          </w:p>
        </w:tc>
        <w:tc>
          <w:tcPr>
            <w:tcW w:w="2900" w:type="dxa"/>
            <w:tcBorders>
              <w:top w:val="single" w:color="auto" w:sz="8" w:space="0"/>
              <w:left w:val="nil"/>
              <w:bottom w:val="single" w:color="auto" w:sz="8" w:space="0"/>
              <w:right w:val="single" w:color="auto" w:sz="4" w:space="0"/>
            </w:tcBorders>
            <w:vAlign w:val="center"/>
          </w:tcPr>
          <w:p>
            <w:pPr>
              <w:rPr>
                <w:rFonts w:ascii="黑体" w:eastAsia="黑体"/>
                <w:b/>
                <w:szCs w:val="21"/>
                <w:lang w:eastAsia="zh-CN"/>
              </w:rPr>
            </w:pPr>
            <w:r>
              <w:rPr>
                <w:rFonts w:hint="eastAsia" w:ascii="黑体" w:eastAsia="黑体"/>
                <w:b/>
                <w:szCs w:val="21"/>
                <w:lang w:eastAsia="zh-CN"/>
              </w:rPr>
              <w:t>4.5 装备自动控制产品</w:t>
            </w:r>
          </w:p>
        </w:tc>
        <w:tc>
          <w:tcPr>
            <w:tcW w:w="2975" w:type="dxa"/>
            <w:tcBorders>
              <w:top w:val="single" w:color="auto" w:sz="4" w:space="0"/>
              <w:left w:val="single" w:color="auto" w:sz="4" w:space="0"/>
              <w:bottom w:val="single" w:color="auto" w:sz="4" w:space="0"/>
              <w:right w:val="nil"/>
            </w:tcBorders>
            <w:vAlign w:val="center"/>
          </w:tcPr>
          <w:p>
            <w:pPr>
              <w:rPr>
                <w:szCs w:val="21"/>
                <w:lang w:eastAsia="zh-CN"/>
              </w:rPr>
            </w:pPr>
            <w:r>
              <w:rPr>
                <w:rFonts w:hint="eastAsia"/>
                <w:szCs w:val="21"/>
                <w:lang w:eastAsia="zh-CN"/>
              </w:rPr>
              <w:t>装备自动控制产品指含有自主研发的智能传感器、变送器、自动化控制器和智能控制器的装备产品，在统计时以这些器件所在系统为基准，不能重复计算</w:t>
            </w: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rPr>
                <w:rFonts w:ascii="黑体" w:eastAsia="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5</w:t>
            </w:r>
            <w:r>
              <w:rPr>
                <w:rFonts w:hint="eastAsia"/>
                <w:bCs/>
                <w:szCs w:val="21"/>
              </w:rPr>
              <w:t>0</w:t>
            </w:r>
            <w:r>
              <w:rPr>
                <w:rFonts w:hint="eastAsia"/>
                <w:bCs/>
                <w:szCs w:val="21"/>
                <w:lang w:eastAsia="zh-CN"/>
              </w:rPr>
              <w:t>1</w:t>
            </w:r>
            <w:r>
              <w:rPr>
                <w:rFonts w:hint="eastAsia"/>
                <w:bCs/>
                <w:szCs w:val="21"/>
              </w:rPr>
              <w:t>00</w:t>
            </w:r>
          </w:p>
        </w:tc>
        <w:tc>
          <w:tcPr>
            <w:tcW w:w="812" w:type="dxa"/>
            <w:tcBorders>
              <w:top w:val="single" w:color="auto" w:sz="8" w:space="0"/>
              <w:left w:val="nil"/>
              <w:bottom w:val="single" w:color="auto" w:sz="8" w:space="0"/>
              <w:right w:val="single" w:color="auto" w:sz="4" w:space="0"/>
            </w:tcBorders>
            <w:vAlign w:val="center"/>
          </w:tcPr>
          <w:p>
            <w:pPr>
              <w:rPr>
                <w:rFonts w:ascii="黑体" w:eastAsia="黑体"/>
                <w:szCs w:val="21"/>
                <w:lang w:eastAsia="zh-CN"/>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rPr>
                <w:rFonts w:ascii="黑体" w:eastAsia="黑体"/>
                <w:szCs w:val="21"/>
                <w:lang w:eastAsia="zh-CN"/>
              </w:rPr>
            </w:pPr>
            <w:r>
              <w:rPr>
                <w:rFonts w:hint="eastAsia" w:ascii="黑体" w:eastAsia="黑体"/>
                <w:szCs w:val="21"/>
                <w:lang w:eastAsia="zh-CN"/>
              </w:rPr>
              <w:t>4.5.1 可编程逻辑控制器（PLC）</w:t>
            </w:r>
          </w:p>
        </w:tc>
        <w:tc>
          <w:tcPr>
            <w:tcW w:w="2975" w:type="dxa"/>
            <w:tcBorders>
              <w:top w:val="single" w:color="auto" w:sz="4" w:space="0"/>
              <w:left w:val="single" w:color="auto" w:sz="4" w:space="0"/>
              <w:bottom w:val="single" w:color="auto" w:sz="4" w:space="0"/>
              <w:right w:val="nil"/>
            </w:tcBorders>
          </w:tcPr>
          <w:p>
            <w:pPr>
              <w:rPr>
                <w:szCs w:val="21"/>
                <w:lang w:eastAsia="zh-CN"/>
              </w:rPr>
            </w:pPr>
            <w:r>
              <w:rPr>
                <w:rFonts w:hint="eastAsia"/>
                <w:szCs w:val="21"/>
                <w:lang w:eastAsia="zh-CN"/>
              </w:rPr>
              <w:t>专门为在工业环境下应用而设计的数字运算操作电子系统</w:t>
            </w: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5</w:t>
            </w:r>
            <w:r>
              <w:rPr>
                <w:rFonts w:hint="eastAsia"/>
                <w:bCs/>
                <w:szCs w:val="21"/>
              </w:rPr>
              <w:t>0</w:t>
            </w:r>
            <w:r>
              <w:rPr>
                <w:rFonts w:hint="eastAsia"/>
                <w:bCs/>
                <w:szCs w:val="21"/>
                <w:lang w:eastAsia="zh-CN"/>
              </w:rPr>
              <w:t>2</w:t>
            </w:r>
            <w:r>
              <w:rPr>
                <w:rFonts w:hint="eastAsia"/>
                <w:bCs/>
                <w:szCs w:val="21"/>
              </w:rPr>
              <w:t>00</w:t>
            </w:r>
          </w:p>
        </w:tc>
        <w:tc>
          <w:tcPr>
            <w:tcW w:w="812"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rPr>
                <w:rFonts w:ascii="黑体" w:eastAsia="黑体"/>
                <w:szCs w:val="21"/>
                <w:lang w:eastAsia="zh-CN"/>
              </w:rPr>
            </w:pPr>
            <w:r>
              <w:rPr>
                <w:rFonts w:hint="eastAsia" w:ascii="黑体" w:eastAsia="黑体"/>
                <w:szCs w:val="21"/>
                <w:lang w:eastAsia="zh-CN"/>
              </w:rPr>
              <w:t>4.5.2 集散控制系统（DCS）</w:t>
            </w:r>
          </w:p>
        </w:tc>
        <w:tc>
          <w:tcPr>
            <w:tcW w:w="2975" w:type="dxa"/>
            <w:tcBorders>
              <w:top w:val="single" w:color="auto" w:sz="4" w:space="0"/>
              <w:left w:val="single" w:color="auto" w:sz="4" w:space="0"/>
              <w:bottom w:val="single" w:color="auto" w:sz="4" w:space="0"/>
              <w:right w:val="nil"/>
            </w:tcBorders>
          </w:tcPr>
          <w:p>
            <w:pPr>
              <w:rPr>
                <w:szCs w:val="21"/>
                <w:lang w:eastAsia="zh-CN"/>
              </w:rPr>
            </w:pPr>
            <w:r>
              <w:rPr>
                <w:rFonts w:hint="eastAsia"/>
                <w:szCs w:val="21"/>
                <w:lang w:eastAsia="zh-CN"/>
              </w:rPr>
              <w:t>是以微处理器为基础，采用控制功能分散、显示操作集中、兼顾分而自治和综合协调的设计原则的新一代仪表控制系统</w:t>
            </w: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rPr>
                <w:rFonts w:ascii="黑体" w:eastAsia="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5</w:t>
            </w:r>
            <w:r>
              <w:rPr>
                <w:rFonts w:hint="eastAsia"/>
                <w:bCs/>
                <w:szCs w:val="21"/>
              </w:rPr>
              <w:t>0</w:t>
            </w:r>
            <w:r>
              <w:rPr>
                <w:rFonts w:hint="eastAsia"/>
                <w:bCs/>
                <w:szCs w:val="21"/>
                <w:lang w:eastAsia="zh-CN"/>
              </w:rPr>
              <w:t>3</w:t>
            </w:r>
            <w:r>
              <w:rPr>
                <w:rFonts w:hint="eastAsia"/>
                <w:bCs/>
                <w:szCs w:val="21"/>
              </w:rPr>
              <w:t>00</w:t>
            </w:r>
          </w:p>
        </w:tc>
        <w:tc>
          <w:tcPr>
            <w:tcW w:w="812" w:type="dxa"/>
            <w:tcBorders>
              <w:top w:val="single" w:color="auto" w:sz="8" w:space="0"/>
              <w:left w:val="nil"/>
              <w:bottom w:val="single" w:color="auto" w:sz="8" w:space="0"/>
              <w:right w:val="single" w:color="auto" w:sz="4" w:space="0"/>
            </w:tcBorders>
            <w:vAlign w:val="center"/>
          </w:tcPr>
          <w:p>
            <w:pPr>
              <w:rPr>
                <w:rFonts w:ascii="黑体" w:eastAsia="黑体"/>
                <w:szCs w:val="21"/>
                <w:lang w:eastAsia="zh-CN"/>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rPr>
                <w:rFonts w:ascii="黑体" w:eastAsia="黑体"/>
                <w:szCs w:val="21"/>
                <w:lang w:eastAsia="zh-CN"/>
              </w:rPr>
            </w:pPr>
            <w:r>
              <w:rPr>
                <w:rFonts w:hint="eastAsia" w:ascii="黑体" w:eastAsia="黑体"/>
                <w:szCs w:val="21"/>
                <w:lang w:eastAsia="zh-CN"/>
              </w:rPr>
              <w:t>4.5.3 电气传动及控制系统</w:t>
            </w:r>
          </w:p>
        </w:tc>
        <w:tc>
          <w:tcPr>
            <w:tcW w:w="2975" w:type="dxa"/>
            <w:tcBorders>
              <w:top w:val="single" w:color="auto" w:sz="4" w:space="0"/>
              <w:left w:val="single" w:color="auto" w:sz="4" w:space="0"/>
              <w:bottom w:val="single" w:color="auto" w:sz="4" w:space="0"/>
              <w:right w:val="nil"/>
            </w:tcBorders>
            <w:vAlign w:val="center"/>
          </w:tcPr>
          <w:p>
            <w:pPr>
              <w:rPr>
                <w:szCs w:val="21"/>
                <w:lang w:eastAsia="zh-CN"/>
              </w:rPr>
            </w:pPr>
            <w:r>
              <w:rPr>
                <w:rFonts w:hint="eastAsia"/>
                <w:szCs w:val="21"/>
                <w:lang w:eastAsia="zh-CN"/>
              </w:rPr>
              <w:t>包含电气传动及控制系统智能传感器及变送器、电气传动及控制系统自动化控制器和智能控制器，如电梯、升降机控制系统等</w:t>
            </w: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r>
              <w:rPr>
                <w:rFonts w:hint="eastAsia"/>
                <w:szCs w:val="21"/>
                <w:lang w:eastAsia="zh-CN"/>
              </w:rPr>
              <w:t>电子制造业制度中无对应项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47"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5</w:t>
            </w:r>
            <w:r>
              <w:rPr>
                <w:rFonts w:hint="eastAsia"/>
                <w:bCs/>
                <w:szCs w:val="21"/>
              </w:rPr>
              <w:t>0</w:t>
            </w:r>
            <w:r>
              <w:rPr>
                <w:rFonts w:hint="eastAsia"/>
                <w:bCs/>
                <w:szCs w:val="21"/>
                <w:lang w:eastAsia="zh-CN"/>
              </w:rPr>
              <w:t>4</w:t>
            </w:r>
            <w:r>
              <w:rPr>
                <w:rFonts w:hint="eastAsia"/>
                <w:bCs/>
                <w:szCs w:val="21"/>
              </w:rPr>
              <w:t>00</w:t>
            </w:r>
          </w:p>
        </w:tc>
        <w:tc>
          <w:tcPr>
            <w:tcW w:w="812"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rPr>
                <w:rFonts w:ascii="黑体" w:eastAsia="黑体"/>
                <w:szCs w:val="21"/>
              </w:rPr>
            </w:pPr>
            <w:r>
              <w:rPr>
                <w:rFonts w:hint="eastAsia" w:ascii="黑体" w:eastAsia="黑体"/>
                <w:szCs w:val="21"/>
                <w:lang w:eastAsia="zh-CN"/>
              </w:rPr>
              <w:t xml:space="preserve">4.5.4 </w:t>
            </w:r>
            <w:r>
              <w:rPr>
                <w:rFonts w:hint="eastAsia" w:ascii="黑体" w:eastAsia="黑体"/>
                <w:szCs w:val="21"/>
              </w:rPr>
              <w:t>装备制造工控系统</w:t>
            </w:r>
          </w:p>
        </w:tc>
        <w:tc>
          <w:tcPr>
            <w:tcW w:w="2975" w:type="dxa"/>
            <w:tcBorders>
              <w:top w:val="single" w:color="auto" w:sz="4" w:space="0"/>
              <w:left w:val="single" w:color="auto" w:sz="4" w:space="0"/>
              <w:bottom w:val="single" w:color="auto" w:sz="4" w:space="0"/>
              <w:right w:val="nil"/>
            </w:tcBorders>
            <w:vAlign w:val="center"/>
          </w:tcPr>
          <w:p>
            <w:pPr>
              <w:rPr>
                <w:szCs w:val="21"/>
                <w:lang w:eastAsia="zh-CN"/>
              </w:rPr>
            </w:pPr>
            <w:r>
              <w:rPr>
                <w:rFonts w:hint="eastAsia"/>
                <w:szCs w:val="21"/>
                <w:lang w:eastAsia="zh-CN"/>
              </w:rPr>
              <w:t>包含装备制造工控系统智能传感器及变送器、装备制造工控系统自动化控制器和智能控制器，如数控机床、数控切割机等</w:t>
            </w: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r>
              <w:rPr>
                <w:rFonts w:hint="eastAsia"/>
                <w:szCs w:val="21"/>
                <w:lang w:eastAsia="zh-CN"/>
              </w:rPr>
              <w:t>电子制造业制度中无对应项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5</w:t>
            </w:r>
            <w:r>
              <w:rPr>
                <w:rFonts w:hint="eastAsia"/>
                <w:bCs/>
                <w:szCs w:val="21"/>
              </w:rPr>
              <w:t>0</w:t>
            </w:r>
            <w:r>
              <w:rPr>
                <w:rFonts w:hint="eastAsia"/>
                <w:bCs/>
                <w:szCs w:val="21"/>
                <w:lang w:eastAsia="zh-CN"/>
              </w:rPr>
              <w:t>5</w:t>
            </w:r>
            <w:r>
              <w:rPr>
                <w:rFonts w:hint="eastAsia"/>
                <w:bCs/>
                <w:szCs w:val="21"/>
              </w:rPr>
              <w:t>00</w:t>
            </w:r>
          </w:p>
        </w:tc>
        <w:tc>
          <w:tcPr>
            <w:tcW w:w="812"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szCs w:val="21"/>
                <w:lang w:eastAsia="zh-CN"/>
              </w:rPr>
              <w:t>4.5.5 数据采集与监视控制系统(SCADA)</w:t>
            </w:r>
          </w:p>
        </w:tc>
        <w:tc>
          <w:tcPr>
            <w:tcW w:w="2975" w:type="dxa"/>
            <w:tcBorders>
              <w:top w:val="single" w:color="auto" w:sz="4" w:space="0"/>
              <w:left w:val="single" w:color="auto" w:sz="4" w:space="0"/>
              <w:bottom w:val="single" w:color="auto" w:sz="4" w:space="0"/>
              <w:right w:val="nil"/>
            </w:tcBorders>
          </w:tcPr>
          <w:p>
            <w:pPr>
              <w:rPr>
                <w:szCs w:val="21"/>
                <w:lang w:eastAsia="zh-CN"/>
              </w:rPr>
            </w:pPr>
            <w:r>
              <w:rPr>
                <w:rFonts w:hint="eastAsia"/>
                <w:szCs w:val="21"/>
                <w:lang w:eastAsia="zh-CN"/>
              </w:rPr>
              <w:t>用于远程实时遥控数据采集过程，以实现对设备和条件的控制。</w:t>
            </w: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5</w:t>
            </w:r>
            <w:r>
              <w:rPr>
                <w:rFonts w:hint="eastAsia"/>
                <w:bCs/>
                <w:szCs w:val="21"/>
              </w:rPr>
              <w:t>0</w:t>
            </w:r>
            <w:r>
              <w:rPr>
                <w:rFonts w:hint="eastAsia"/>
                <w:bCs/>
                <w:szCs w:val="21"/>
                <w:lang w:eastAsia="zh-CN"/>
              </w:rPr>
              <w:t>6</w:t>
            </w:r>
            <w:r>
              <w:rPr>
                <w:rFonts w:hint="eastAsia"/>
                <w:bCs/>
                <w:szCs w:val="21"/>
              </w:rPr>
              <w:t>00</w:t>
            </w:r>
          </w:p>
        </w:tc>
        <w:tc>
          <w:tcPr>
            <w:tcW w:w="812"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szCs w:val="21"/>
                <w:lang w:eastAsia="zh-CN"/>
              </w:rPr>
              <w:t>4.5.6 远程终端控制系统(RTU)</w:t>
            </w:r>
          </w:p>
        </w:tc>
        <w:tc>
          <w:tcPr>
            <w:tcW w:w="2975" w:type="dxa"/>
            <w:tcBorders>
              <w:top w:val="single" w:color="auto" w:sz="4" w:space="0"/>
              <w:left w:val="single" w:color="auto" w:sz="4" w:space="0"/>
              <w:bottom w:val="single" w:color="auto" w:sz="4" w:space="0"/>
              <w:right w:val="nil"/>
            </w:tcBorders>
          </w:tcPr>
          <w:p>
            <w:pPr>
              <w:rPr>
                <w:szCs w:val="21"/>
                <w:lang w:eastAsia="zh-CN"/>
              </w:rPr>
            </w:pPr>
            <w:r>
              <w:rPr>
                <w:rFonts w:hint="eastAsia"/>
                <w:szCs w:val="21"/>
                <w:lang w:eastAsia="zh-CN"/>
              </w:rPr>
              <w:t>是一种微处理器控制的电子设备，接口在物理世界中的对象到一个分布式控制系统或SCADA（监控和数据采集系统）。</w:t>
            </w: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5</w:t>
            </w:r>
            <w:r>
              <w:rPr>
                <w:rFonts w:hint="eastAsia"/>
                <w:bCs/>
                <w:szCs w:val="21"/>
              </w:rPr>
              <w:t>0</w:t>
            </w:r>
            <w:r>
              <w:rPr>
                <w:rFonts w:hint="eastAsia"/>
                <w:bCs/>
                <w:szCs w:val="21"/>
                <w:lang w:eastAsia="zh-CN"/>
              </w:rPr>
              <w:t>7</w:t>
            </w:r>
            <w:r>
              <w:rPr>
                <w:rFonts w:hint="eastAsia"/>
                <w:bCs/>
                <w:szCs w:val="21"/>
              </w:rPr>
              <w:t>00</w:t>
            </w:r>
          </w:p>
        </w:tc>
        <w:tc>
          <w:tcPr>
            <w:tcW w:w="812"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szCs w:val="21"/>
                <w:lang w:eastAsia="zh-CN"/>
              </w:rPr>
              <w:t>4.5.7 人机接口(HMI)</w:t>
            </w:r>
          </w:p>
        </w:tc>
        <w:tc>
          <w:tcPr>
            <w:tcW w:w="2975" w:type="dxa"/>
            <w:tcBorders>
              <w:top w:val="single" w:color="auto" w:sz="4" w:space="0"/>
              <w:left w:val="single" w:color="auto" w:sz="4" w:space="0"/>
              <w:bottom w:val="single" w:color="auto" w:sz="4" w:space="0"/>
              <w:right w:val="nil"/>
            </w:tcBorders>
          </w:tcPr>
          <w:p>
            <w:pPr>
              <w:rPr>
                <w:szCs w:val="21"/>
                <w:lang w:eastAsia="zh-CN"/>
              </w:rPr>
            </w:pPr>
            <w:r>
              <w:rPr>
                <w:rFonts w:hint="eastAsia"/>
                <w:szCs w:val="21"/>
                <w:lang w:eastAsia="zh-CN"/>
              </w:rPr>
              <w:t>是系统和用户之间进行交互和信息交换的媒介。</w:t>
            </w: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47"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5</w:t>
            </w:r>
            <w:r>
              <w:rPr>
                <w:rFonts w:hint="eastAsia"/>
                <w:bCs/>
                <w:szCs w:val="21"/>
              </w:rPr>
              <w:t>0</w:t>
            </w:r>
            <w:r>
              <w:rPr>
                <w:rFonts w:hint="eastAsia"/>
                <w:bCs/>
                <w:szCs w:val="21"/>
                <w:lang w:eastAsia="zh-CN"/>
              </w:rPr>
              <w:t>8</w:t>
            </w:r>
            <w:r>
              <w:rPr>
                <w:rFonts w:hint="eastAsia"/>
                <w:bCs/>
                <w:szCs w:val="21"/>
              </w:rPr>
              <w:t>00</w:t>
            </w:r>
          </w:p>
        </w:tc>
        <w:tc>
          <w:tcPr>
            <w:tcW w:w="812"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szCs w:val="21"/>
                <w:lang w:eastAsia="zh-CN"/>
              </w:rPr>
              <w:t>4.5.8 可编程自动化控制器（PAC）</w:t>
            </w:r>
          </w:p>
        </w:tc>
        <w:tc>
          <w:tcPr>
            <w:tcW w:w="2975" w:type="dxa"/>
            <w:tcBorders>
              <w:top w:val="single" w:color="auto" w:sz="4" w:space="0"/>
              <w:left w:val="single" w:color="auto" w:sz="4" w:space="0"/>
              <w:bottom w:val="single" w:color="auto" w:sz="4" w:space="0"/>
              <w:right w:val="nil"/>
            </w:tcBorders>
          </w:tcPr>
          <w:p>
            <w:pPr>
              <w:rPr>
                <w:szCs w:val="21"/>
                <w:lang w:eastAsia="zh-CN"/>
              </w:rPr>
            </w:pPr>
            <w:r>
              <w:rPr>
                <w:rFonts w:hint="eastAsia"/>
                <w:szCs w:val="21"/>
                <w:lang w:eastAsia="zh-CN"/>
              </w:rPr>
              <w:t>为结合可编程控制器（PLC）与工业电脑（IPC）的多功能工业用自动化控制器。</w:t>
            </w: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jc w:val="both"/>
              <w:rPr>
                <w:rFonts w:ascii="黑体" w:eastAsia="黑体"/>
                <w:b/>
                <w:szCs w:val="21"/>
                <w:lang w:eastAsia="zh-CN"/>
              </w:rPr>
            </w:pPr>
            <w:r>
              <w:rPr>
                <w:rFonts w:hint="eastAsia"/>
                <w:b/>
                <w:szCs w:val="21"/>
              </w:rPr>
              <w:t>E</w:t>
            </w:r>
            <w:r>
              <w:rPr>
                <w:rFonts w:hint="eastAsia"/>
                <w:b/>
                <w:szCs w:val="21"/>
                <w:lang w:eastAsia="zh-CN"/>
              </w:rPr>
              <w:t>4</w:t>
            </w:r>
            <w:r>
              <w:rPr>
                <w:rFonts w:hint="eastAsia"/>
                <w:b/>
                <w:szCs w:val="21"/>
              </w:rPr>
              <w:t>0</w:t>
            </w:r>
            <w:r>
              <w:rPr>
                <w:rFonts w:hint="eastAsia"/>
                <w:b/>
                <w:szCs w:val="21"/>
                <w:lang w:eastAsia="zh-CN"/>
              </w:rPr>
              <w:t>1</w:t>
            </w:r>
            <w:r>
              <w:rPr>
                <w:rFonts w:hint="eastAsia"/>
                <w:b/>
                <w:szCs w:val="21"/>
              </w:rPr>
              <w:t>0</w:t>
            </w:r>
            <w:r>
              <w:rPr>
                <w:rFonts w:hint="eastAsia"/>
                <w:b/>
                <w:szCs w:val="21"/>
                <w:lang w:eastAsia="zh-CN"/>
              </w:rPr>
              <w:t>6</w:t>
            </w:r>
            <w:r>
              <w:rPr>
                <w:rFonts w:hint="eastAsia"/>
                <w:b/>
                <w:szCs w:val="21"/>
              </w:rPr>
              <w:t>0000</w:t>
            </w:r>
          </w:p>
        </w:tc>
        <w:tc>
          <w:tcPr>
            <w:tcW w:w="812" w:type="dxa"/>
            <w:tcBorders>
              <w:top w:val="single" w:color="auto" w:sz="8" w:space="0"/>
              <w:left w:val="nil"/>
              <w:bottom w:val="single" w:color="auto" w:sz="8" w:space="0"/>
              <w:right w:val="single" w:color="auto" w:sz="4" w:space="0"/>
            </w:tcBorders>
            <w:vAlign w:val="center"/>
          </w:tcPr>
          <w:p>
            <w:pPr>
              <w:jc w:val="both"/>
              <w:rPr>
                <w:rFonts w:ascii="黑体" w:eastAsia="黑体"/>
                <w:b/>
                <w:szCs w:val="21"/>
                <w:lang w:eastAsia="zh-CN"/>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b/>
                <w:szCs w:val="21"/>
                <w:lang w:eastAsia="zh-CN"/>
              </w:rPr>
              <w:t>4.6 生物特征识别装置</w:t>
            </w:r>
          </w:p>
        </w:tc>
        <w:tc>
          <w:tcPr>
            <w:tcW w:w="2975" w:type="dxa"/>
            <w:tcBorders>
              <w:top w:val="single" w:color="auto" w:sz="4" w:space="0"/>
              <w:left w:val="single" w:color="auto" w:sz="4" w:space="0"/>
              <w:bottom w:val="single" w:color="auto" w:sz="4" w:space="0"/>
              <w:right w:val="nil"/>
            </w:tcBorders>
            <w:vAlign w:val="center"/>
          </w:tcPr>
          <w:p>
            <w:pPr>
              <w:autoSpaceDE/>
              <w:autoSpaceDN/>
              <w:jc w:val="both"/>
              <w:rPr>
                <w:szCs w:val="21"/>
                <w:lang w:eastAsia="zh-CN"/>
              </w:rPr>
            </w:pPr>
            <w:r>
              <w:rPr>
                <w:rFonts w:hint="eastAsia"/>
                <w:szCs w:val="21"/>
                <w:lang w:eastAsia="zh-CN"/>
              </w:rPr>
              <w:t>包含：指纹识别装置、虹膜识别装置、脸型/人脸识别装置、声纹识别装置、骨骼识别装置等。</w:t>
            </w: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r>
              <w:rPr>
                <w:rFonts w:hint="eastAsia"/>
                <w:szCs w:val="21"/>
                <w:lang w:eastAsia="zh-CN"/>
              </w:rPr>
              <w:t>电子制造业制度中无对应项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jc w:val="both"/>
              <w:rPr>
                <w:rFonts w:ascii="黑体" w:eastAsia="黑体"/>
                <w:b/>
                <w:szCs w:val="21"/>
                <w:lang w:eastAsia="zh-CN"/>
              </w:rPr>
            </w:pPr>
            <w:r>
              <w:rPr>
                <w:rFonts w:hint="eastAsia"/>
                <w:b/>
                <w:szCs w:val="21"/>
              </w:rPr>
              <w:t>E</w:t>
            </w:r>
            <w:r>
              <w:rPr>
                <w:rFonts w:hint="eastAsia"/>
                <w:b/>
                <w:szCs w:val="21"/>
                <w:lang w:eastAsia="zh-CN"/>
              </w:rPr>
              <w:t>4</w:t>
            </w:r>
            <w:r>
              <w:rPr>
                <w:rFonts w:hint="eastAsia"/>
                <w:b/>
                <w:szCs w:val="21"/>
              </w:rPr>
              <w:t>0</w:t>
            </w:r>
            <w:r>
              <w:rPr>
                <w:rFonts w:hint="eastAsia"/>
                <w:b/>
                <w:szCs w:val="21"/>
                <w:lang w:eastAsia="zh-CN"/>
              </w:rPr>
              <w:t>1</w:t>
            </w:r>
            <w:r>
              <w:rPr>
                <w:rFonts w:hint="eastAsia"/>
                <w:b/>
                <w:szCs w:val="21"/>
              </w:rPr>
              <w:t>0</w:t>
            </w:r>
            <w:r>
              <w:rPr>
                <w:rFonts w:hint="eastAsia"/>
                <w:b/>
                <w:szCs w:val="21"/>
                <w:lang w:eastAsia="zh-CN"/>
              </w:rPr>
              <w:t>7</w:t>
            </w:r>
            <w:r>
              <w:rPr>
                <w:rFonts w:hint="eastAsia"/>
                <w:b/>
                <w:szCs w:val="21"/>
              </w:rPr>
              <w:t>0000</w:t>
            </w:r>
          </w:p>
        </w:tc>
        <w:tc>
          <w:tcPr>
            <w:tcW w:w="812" w:type="dxa"/>
            <w:tcBorders>
              <w:top w:val="single" w:color="auto" w:sz="8" w:space="0"/>
              <w:left w:val="nil"/>
              <w:bottom w:val="single" w:color="auto" w:sz="8" w:space="0"/>
              <w:right w:val="single" w:color="auto" w:sz="4" w:space="0"/>
            </w:tcBorders>
            <w:vAlign w:val="center"/>
          </w:tcPr>
          <w:p>
            <w:pPr>
              <w:jc w:val="both"/>
              <w:rPr>
                <w:rFonts w:ascii="黑体" w:eastAsia="黑体"/>
                <w:b/>
                <w:szCs w:val="21"/>
                <w:lang w:eastAsia="zh-CN"/>
              </w:rPr>
            </w:pPr>
          </w:p>
        </w:tc>
        <w:tc>
          <w:tcPr>
            <w:tcW w:w="2900" w:type="dxa"/>
            <w:tcBorders>
              <w:top w:val="single" w:color="auto" w:sz="8" w:space="0"/>
              <w:left w:val="nil"/>
              <w:bottom w:val="single" w:color="auto" w:sz="8" w:space="0"/>
              <w:right w:val="single" w:color="auto" w:sz="4" w:space="0"/>
            </w:tcBorders>
            <w:vAlign w:val="center"/>
          </w:tcPr>
          <w:p>
            <w:pPr>
              <w:jc w:val="both"/>
              <w:rPr>
                <w:rFonts w:ascii="黑体" w:eastAsia="黑体"/>
                <w:b/>
                <w:szCs w:val="21"/>
                <w:lang w:eastAsia="zh-CN"/>
              </w:rPr>
            </w:pPr>
            <w:r>
              <w:rPr>
                <w:rFonts w:hint="eastAsia" w:ascii="黑体" w:eastAsia="黑体"/>
                <w:b/>
                <w:szCs w:val="21"/>
                <w:lang w:eastAsia="zh-CN"/>
              </w:rPr>
              <w:t>4.7 可穿戴智能设备</w:t>
            </w:r>
          </w:p>
        </w:tc>
        <w:tc>
          <w:tcPr>
            <w:tcW w:w="2975" w:type="dxa"/>
            <w:tcBorders>
              <w:top w:val="single" w:color="auto" w:sz="4" w:space="0"/>
              <w:left w:val="single" w:color="auto" w:sz="4" w:space="0"/>
              <w:bottom w:val="single" w:color="auto" w:sz="4" w:space="0"/>
              <w:right w:val="nil"/>
            </w:tcBorders>
            <w:vAlign w:val="center"/>
          </w:tcPr>
          <w:p>
            <w:pPr>
              <w:autoSpaceDE/>
              <w:autoSpaceDN/>
              <w:jc w:val="both"/>
              <w:rPr>
                <w:szCs w:val="21"/>
                <w:lang w:eastAsia="zh-CN"/>
              </w:rPr>
            </w:pPr>
            <w:r>
              <w:rPr>
                <w:rFonts w:hint="eastAsia"/>
                <w:szCs w:val="21"/>
                <w:lang w:eastAsia="zh-CN"/>
              </w:rPr>
              <w:t>指由用户穿戴和控制，并且自然、持续地运行和交互的个人移动计算设备产品的制造，包括可穿戴运动监测设备制造。</w:t>
            </w: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7</w:t>
            </w:r>
            <w:r>
              <w:rPr>
                <w:rFonts w:hint="eastAsia"/>
                <w:bCs/>
                <w:szCs w:val="21"/>
              </w:rPr>
              <w:t>0</w:t>
            </w:r>
            <w:r>
              <w:rPr>
                <w:rFonts w:hint="eastAsia"/>
                <w:bCs/>
                <w:szCs w:val="21"/>
                <w:lang w:eastAsia="zh-CN"/>
              </w:rPr>
              <w:t>1</w:t>
            </w:r>
            <w:r>
              <w:rPr>
                <w:rFonts w:hint="eastAsia"/>
                <w:bCs/>
                <w:szCs w:val="21"/>
              </w:rPr>
              <w:t>00</w:t>
            </w:r>
          </w:p>
        </w:tc>
        <w:tc>
          <w:tcPr>
            <w:tcW w:w="812"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szCs w:val="21"/>
                <w:lang w:eastAsia="zh-CN"/>
              </w:rPr>
              <w:t>4.7.1 智能手部穿戴设备</w:t>
            </w:r>
          </w:p>
        </w:tc>
        <w:tc>
          <w:tcPr>
            <w:tcW w:w="2975" w:type="dxa"/>
            <w:tcBorders>
              <w:top w:val="single" w:color="auto" w:sz="4" w:space="0"/>
              <w:left w:val="single" w:color="auto" w:sz="4" w:space="0"/>
              <w:bottom w:val="single" w:color="auto" w:sz="4" w:space="0"/>
              <w:right w:val="nil"/>
            </w:tcBorders>
            <w:vAlign w:val="center"/>
          </w:tcPr>
          <w:p>
            <w:pPr>
              <w:autoSpaceDE/>
              <w:autoSpaceDN/>
              <w:spacing w:line="500" w:lineRule="exact"/>
              <w:jc w:val="both"/>
              <w:rPr>
                <w:szCs w:val="21"/>
                <w:lang w:eastAsia="zh-CN"/>
              </w:rPr>
            </w:pP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47"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7</w:t>
            </w:r>
            <w:r>
              <w:rPr>
                <w:rFonts w:hint="eastAsia"/>
                <w:bCs/>
                <w:szCs w:val="21"/>
              </w:rPr>
              <w:t>0</w:t>
            </w:r>
            <w:r>
              <w:rPr>
                <w:rFonts w:hint="eastAsia"/>
                <w:bCs/>
                <w:szCs w:val="21"/>
                <w:lang w:eastAsia="zh-CN"/>
              </w:rPr>
              <w:t>2</w:t>
            </w:r>
            <w:r>
              <w:rPr>
                <w:rFonts w:hint="eastAsia"/>
                <w:bCs/>
                <w:szCs w:val="21"/>
              </w:rPr>
              <w:t>00</w:t>
            </w:r>
          </w:p>
        </w:tc>
        <w:tc>
          <w:tcPr>
            <w:tcW w:w="812"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szCs w:val="21"/>
                <w:lang w:eastAsia="zh-CN"/>
              </w:rPr>
              <w:t>4.7.2 智能健康监测穿戴设备</w:t>
            </w:r>
          </w:p>
        </w:tc>
        <w:tc>
          <w:tcPr>
            <w:tcW w:w="2975" w:type="dxa"/>
            <w:tcBorders>
              <w:top w:val="single" w:color="auto" w:sz="4" w:space="0"/>
              <w:left w:val="single" w:color="auto" w:sz="4" w:space="0"/>
              <w:bottom w:val="single" w:color="auto" w:sz="4" w:space="0"/>
              <w:right w:val="nil"/>
            </w:tcBorders>
            <w:vAlign w:val="center"/>
          </w:tcPr>
          <w:p>
            <w:pPr>
              <w:autoSpaceDE/>
              <w:autoSpaceDN/>
              <w:spacing w:line="500" w:lineRule="exact"/>
              <w:jc w:val="both"/>
              <w:rPr>
                <w:szCs w:val="21"/>
                <w:lang w:eastAsia="zh-CN"/>
              </w:rPr>
            </w:pP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7</w:t>
            </w:r>
            <w:r>
              <w:rPr>
                <w:rFonts w:hint="eastAsia"/>
                <w:bCs/>
                <w:szCs w:val="21"/>
              </w:rPr>
              <w:t>0</w:t>
            </w:r>
            <w:r>
              <w:rPr>
                <w:rFonts w:hint="eastAsia"/>
                <w:bCs/>
                <w:szCs w:val="21"/>
                <w:lang w:eastAsia="zh-CN"/>
              </w:rPr>
              <w:t>3</w:t>
            </w:r>
            <w:r>
              <w:rPr>
                <w:rFonts w:hint="eastAsia"/>
                <w:bCs/>
                <w:szCs w:val="21"/>
              </w:rPr>
              <w:t>00</w:t>
            </w:r>
          </w:p>
        </w:tc>
        <w:tc>
          <w:tcPr>
            <w:tcW w:w="812"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szCs w:val="21"/>
                <w:lang w:eastAsia="zh-CN"/>
              </w:rPr>
              <w:t>4.7.3 智能头戴式设备</w:t>
            </w:r>
          </w:p>
        </w:tc>
        <w:tc>
          <w:tcPr>
            <w:tcW w:w="2975" w:type="dxa"/>
            <w:tcBorders>
              <w:top w:val="single" w:color="auto" w:sz="4" w:space="0"/>
              <w:left w:val="single" w:color="auto" w:sz="4" w:space="0"/>
              <w:bottom w:val="single" w:color="auto" w:sz="4" w:space="0"/>
              <w:right w:val="nil"/>
            </w:tcBorders>
            <w:vAlign w:val="center"/>
          </w:tcPr>
          <w:p>
            <w:pPr>
              <w:autoSpaceDE/>
              <w:autoSpaceDN/>
              <w:jc w:val="both"/>
              <w:rPr>
                <w:szCs w:val="21"/>
                <w:lang w:eastAsia="zh-CN"/>
              </w:rPr>
            </w:pPr>
            <w:r>
              <w:rPr>
                <w:rFonts w:hint="eastAsia"/>
                <w:szCs w:val="21"/>
                <w:lang w:eastAsia="zh-CN"/>
              </w:rPr>
              <w:t>包含虚拟现实设备、增强现实设备等。</w:t>
            </w: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jc w:val="both"/>
              <w:rPr>
                <w:rFonts w:ascii="黑体" w:eastAsia="黑体"/>
                <w:b/>
                <w:szCs w:val="21"/>
                <w:lang w:eastAsia="zh-CN"/>
              </w:rPr>
            </w:pPr>
            <w:r>
              <w:rPr>
                <w:rFonts w:hint="eastAsia"/>
                <w:b/>
                <w:szCs w:val="21"/>
              </w:rPr>
              <w:t>E</w:t>
            </w:r>
            <w:r>
              <w:rPr>
                <w:rFonts w:hint="eastAsia"/>
                <w:b/>
                <w:szCs w:val="21"/>
                <w:lang w:eastAsia="zh-CN"/>
              </w:rPr>
              <w:t>4</w:t>
            </w:r>
            <w:r>
              <w:rPr>
                <w:rFonts w:hint="eastAsia"/>
                <w:b/>
                <w:szCs w:val="21"/>
              </w:rPr>
              <w:t>0</w:t>
            </w:r>
            <w:r>
              <w:rPr>
                <w:rFonts w:hint="eastAsia"/>
                <w:b/>
                <w:szCs w:val="21"/>
                <w:lang w:eastAsia="zh-CN"/>
              </w:rPr>
              <w:t>1</w:t>
            </w:r>
            <w:r>
              <w:rPr>
                <w:rFonts w:hint="eastAsia"/>
                <w:b/>
                <w:szCs w:val="21"/>
              </w:rPr>
              <w:t>0</w:t>
            </w:r>
            <w:r>
              <w:rPr>
                <w:rFonts w:hint="eastAsia"/>
                <w:b/>
                <w:szCs w:val="21"/>
                <w:lang w:eastAsia="zh-CN"/>
              </w:rPr>
              <w:t>8</w:t>
            </w:r>
            <w:r>
              <w:rPr>
                <w:rFonts w:hint="eastAsia"/>
                <w:b/>
                <w:szCs w:val="21"/>
              </w:rPr>
              <w:t>0000</w:t>
            </w:r>
          </w:p>
        </w:tc>
        <w:tc>
          <w:tcPr>
            <w:tcW w:w="812" w:type="dxa"/>
            <w:tcBorders>
              <w:top w:val="single" w:color="auto" w:sz="8" w:space="0"/>
              <w:left w:val="nil"/>
              <w:bottom w:val="single" w:color="auto" w:sz="8" w:space="0"/>
              <w:right w:val="single" w:color="auto" w:sz="4" w:space="0"/>
            </w:tcBorders>
            <w:vAlign w:val="center"/>
          </w:tcPr>
          <w:p>
            <w:pPr>
              <w:jc w:val="both"/>
              <w:rPr>
                <w:rFonts w:ascii="黑体" w:eastAsia="黑体"/>
                <w:b/>
                <w:szCs w:val="21"/>
                <w:lang w:eastAsia="zh-CN"/>
              </w:rPr>
            </w:pPr>
          </w:p>
        </w:tc>
        <w:tc>
          <w:tcPr>
            <w:tcW w:w="2900"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b/>
                <w:szCs w:val="21"/>
                <w:lang w:eastAsia="zh-CN"/>
              </w:rPr>
              <w:t>4.8 智能车载设备（后装）</w:t>
            </w:r>
          </w:p>
        </w:tc>
        <w:tc>
          <w:tcPr>
            <w:tcW w:w="2975" w:type="dxa"/>
            <w:tcBorders>
              <w:top w:val="single" w:color="auto" w:sz="4" w:space="0"/>
              <w:left w:val="single" w:color="auto" w:sz="4" w:space="0"/>
              <w:bottom w:val="single" w:color="auto" w:sz="4" w:space="0"/>
              <w:right w:val="nil"/>
            </w:tcBorders>
            <w:vAlign w:val="center"/>
          </w:tcPr>
          <w:p>
            <w:pPr>
              <w:autoSpaceDE/>
              <w:autoSpaceDN/>
              <w:jc w:val="both"/>
              <w:rPr>
                <w:szCs w:val="21"/>
                <w:lang w:eastAsia="zh-CN"/>
              </w:rPr>
            </w:pPr>
            <w:r>
              <w:rPr>
                <w:rFonts w:hint="eastAsia"/>
                <w:szCs w:val="21"/>
                <w:lang w:eastAsia="zh-CN"/>
              </w:rPr>
              <w:t>指包含具备汽车联网、自动驾驶、车内及车际通讯、智能交通基础设施通信等功能要素，融合了传感器、雷达、卫星定位、导航、人工智能等技术，使汽车具备智能环境感知、信息处理计算、人-车-路通信、协同控制与决策等能力，自动分析汽车行驶的安全及危险状态目的的车载终端产品及相关配套设备的制造。</w:t>
            </w: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8</w:t>
            </w:r>
            <w:r>
              <w:rPr>
                <w:rFonts w:hint="eastAsia"/>
                <w:bCs/>
                <w:szCs w:val="21"/>
              </w:rPr>
              <w:t>0</w:t>
            </w:r>
            <w:r>
              <w:rPr>
                <w:rFonts w:hint="eastAsia"/>
                <w:bCs/>
                <w:szCs w:val="21"/>
                <w:lang w:eastAsia="zh-CN"/>
              </w:rPr>
              <w:t>1</w:t>
            </w:r>
            <w:r>
              <w:rPr>
                <w:rFonts w:hint="eastAsia"/>
                <w:bCs/>
                <w:szCs w:val="21"/>
              </w:rPr>
              <w:t>00</w:t>
            </w:r>
          </w:p>
        </w:tc>
        <w:tc>
          <w:tcPr>
            <w:tcW w:w="812"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szCs w:val="21"/>
                <w:lang w:eastAsia="zh-CN"/>
              </w:rPr>
              <w:t>4.8.1 车机（信息娱乐用中控系统）</w:t>
            </w:r>
          </w:p>
        </w:tc>
        <w:tc>
          <w:tcPr>
            <w:tcW w:w="2975" w:type="dxa"/>
            <w:tcBorders>
              <w:top w:val="single" w:color="auto" w:sz="4" w:space="0"/>
              <w:left w:val="single" w:color="auto" w:sz="4" w:space="0"/>
              <w:bottom w:val="single" w:color="auto" w:sz="4" w:space="0"/>
              <w:right w:val="nil"/>
            </w:tcBorders>
            <w:vAlign w:val="center"/>
          </w:tcPr>
          <w:p>
            <w:pPr>
              <w:autoSpaceDE/>
              <w:autoSpaceDN/>
              <w:spacing w:line="500" w:lineRule="exact"/>
              <w:jc w:val="both"/>
              <w:rPr>
                <w:szCs w:val="21"/>
                <w:lang w:eastAsia="zh-CN"/>
              </w:rPr>
            </w:pP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47"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8</w:t>
            </w:r>
            <w:r>
              <w:rPr>
                <w:rFonts w:hint="eastAsia"/>
                <w:bCs/>
                <w:szCs w:val="21"/>
              </w:rPr>
              <w:t>0</w:t>
            </w:r>
            <w:r>
              <w:rPr>
                <w:rFonts w:hint="eastAsia"/>
                <w:bCs/>
                <w:szCs w:val="21"/>
                <w:lang w:eastAsia="zh-CN"/>
              </w:rPr>
              <w:t>2</w:t>
            </w:r>
            <w:r>
              <w:rPr>
                <w:rFonts w:hint="eastAsia"/>
                <w:bCs/>
                <w:szCs w:val="21"/>
              </w:rPr>
              <w:t>00</w:t>
            </w:r>
          </w:p>
        </w:tc>
        <w:tc>
          <w:tcPr>
            <w:tcW w:w="812"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szCs w:val="21"/>
                <w:lang w:eastAsia="zh-CN"/>
              </w:rPr>
              <w:t>4.8.2 车载诊断系统</w:t>
            </w:r>
          </w:p>
        </w:tc>
        <w:tc>
          <w:tcPr>
            <w:tcW w:w="2975" w:type="dxa"/>
            <w:tcBorders>
              <w:top w:val="single" w:color="auto" w:sz="4" w:space="0"/>
              <w:left w:val="single" w:color="auto" w:sz="4" w:space="0"/>
              <w:bottom w:val="single" w:color="auto" w:sz="4" w:space="0"/>
              <w:right w:val="nil"/>
            </w:tcBorders>
            <w:vAlign w:val="center"/>
          </w:tcPr>
          <w:p>
            <w:pPr>
              <w:autoSpaceDE/>
              <w:autoSpaceDN/>
              <w:spacing w:line="500" w:lineRule="exact"/>
              <w:jc w:val="both"/>
              <w:rPr>
                <w:szCs w:val="21"/>
                <w:lang w:eastAsia="zh-CN"/>
              </w:rPr>
            </w:pP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8</w:t>
            </w:r>
            <w:r>
              <w:rPr>
                <w:rFonts w:hint="eastAsia"/>
                <w:bCs/>
                <w:szCs w:val="21"/>
              </w:rPr>
              <w:t>0</w:t>
            </w:r>
            <w:r>
              <w:rPr>
                <w:rFonts w:hint="eastAsia"/>
                <w:bCs/>
                <w:szCs w:val="21"/>
                <w:lang w:eastAsia="zh-CN"/>
              </w:rPr>
              <w:t>3</w:t>
            </w:r>
            <w:r>
              <w:rPr>
                <w:rFonts w:hint="eastAsia"/>
                <w:bCs/>
                <w:szCs w:val="21"/>
              </w:rPr>
              <w:t>00</w:t>
            </w:r>
          </w:p>
        </w:tc>
        <w:tc>
          <w:tcPr>
            <w:tcW w:w="812"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szCs w:val="21"/>
                <w:lang w:eastAsia="zh-CN"/>
              </w:rPr>
              <w:t>4.8.3 智能后视镜及行车记录仪</w:t>
            </w:r>
          </w:p>
        </w:tc>
        <w:tc>
          <w:tcPr>
            <w:tcW w:w="2975" w:type="dxa"/>
            <w:tcBorders>
              <w:top w:val="single" w:color="auto" w:sz="4" w:space="0"/>
              <w:left w:val="single" w:color="auto" w:sz="4" w:space="0"/>
              <w:bottom w:val="single" w:color="auto" w:sz="4" w:space="0"/>
              <w:right w:val="nil"/>
            </w:tcBorders>
            <w:vAlign w:val="center"/>
          </w:tcPr>
          <w:p>
            <w:pPr>
              <w:autoSpaceDE/>
              <w:autoSpaceDN/>
              <w:spacing w:line="500" w:lineRule="exact"/>
              <w:jc w:val="both"/>
              <w:rPr>
                <w:szCs w:val="21"/>
                <w:lang w:eastAsia="zh-CN"/>
              </w:rPr>
            </w:pP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8</w:t>
            </w:r>
            <w:r>
              <w:rPr>
                <w:rFonts w:hint="eastAsia"/>
                <w:bCs/>
                <w:szCs w:val="21"/>
              </w:rPr>
              <w:t>0</w:t>
            </w:r>
            <w:r>
              <w:rPr>
                <w:rFonts w:hint="eastAsia"/>
                <w:bCs/>
                <w:szCs w:val="21"/>
                <w:lang w:eastAsia="zh-CN"/>
              </w:rPr>
              <w:t>4</w:t>
            </w:r>
            <w:r>
              <w:rPr>
                <w:rFonts w:hint="eastAsia"/>
                <w:bCs/>
                <w:szCs w:val="21"/>
              </w:rPr>
              <w:t>00</w:t>
            </w:r>
          </w:p>
        </w:tc>
        <w:tc>
          <w:tcPr>
            <w:tcW w:w="812"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szCs w:val="21"/>
                <w:lang w:eastAsia="zh-CN"/>
              </w:rPr>
              <w:t>4.8.4 车载抬头显示</w:t>
            </w:r>
          </w:p>
        </w:tc>
        <w:tc>
          <w:tcPr>
            <w:tcW w:w="2975" w:type="dxa"/>
            <w:tcBorders>
              <w:top w:val="single" w:color="auto" w:sz="4" w:space="0"/>
              <w:left w:val="single" w:color="auto" w:sz="4" w:space="0"/>
              <w:bottom w:val="single" w:color="auto" w:sz="4" w:space="0"/>
              <w:right w:val="nil"/>
            </w:tcBorders>
            <w:vAlign w:val="center"/>
          </w:tcPr>
          <w:p>
            <w:pPr>
              <w:autoSpaceDE/>
              <w:autoSpaceDN/>
              <w:spacing w:line="500" w:lineRule="exact"/>
              <w:jc w:val="both"/>
              <w:rPr>
                <w:szCs w:val="21"/>
                <w:lang w:eastAsia="zh-CN"/>
              </w:rPr>
            </w:pP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8</w:t>
            </w:r>
            <w:r>
              <w:rPr>
                <w:rFonts w:hint="eastAsia"/>
                <w:bCs/>
                <w:szCs w:val="21"/>
              </w:rPr>
              <w:t>0</w:t>
            </w:r>
            <w:r>
              <w:rPr>
                <w:rFonts w:hint="eastAsia"/>
                <w:bCs/>
                <w:szCs w:val="21"/>
                <w:lang w:eastAsia="zh-CN"/>
              </w:rPr>
              <w:t>5</w:t>
            </w:r>
            <w:r>
              <w:rPr>
                <w:rFonts w:hint="eastAsia"/>
                <w:bCs/>
                <w:szCs w:val="21"/>
              </w:rPr>
              <w:t>00</w:t>
            </w:r>
          </w:p>
        </w:tc>
        <w:tc>
          <w:tcPr>
            <w:tcW w:w="812"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szCs w:val="21"/>
                <w:lang w:eastAsia="zh-CN"/>
              </w:rPr>
              <w:t>4.8.5 其他车载设备</w:t>
            </w:r>
          </w:p>
        </w:tc>
        <w:tc>
          <w:tcPr>
            <w:tcW w:w="2975" w:type="dxa"/>
            <w:tcBorders>
              <w:top w:val="single" w:color="auto" w:sz="4" w:space="0"/>
              <w:left w:val="single" w:color="auto" w:sz="4" w:space="0"/>
              <w:bottom w:val="single" w:color="auto" w:sz="4" w:space="0"/>
              <w:right w:val="nil"/>
            </w:tcBorders>
            <w:vAlign w:val="center"/>
          </w:tcPr>
          <w:p>
            <w:pPr>
              <w:autoSpaceDE/>
              <w:autoSpaceDN/>
              <w:spacing w:line="500" w:lineRule="exact"/>
              <w:jc w:val="both"/>
              <w:rPr>
                <w:szCs w:val="21"/>
                <w:lang w:eastAsia="zh-CN"/>
              </w:rPr>
            </w:pP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47" w:type="dxa"/>
            <w:tcBorders>
              <w:top w:val="single" w:color="auto" w:sz="8" w:space="0"/>
              <w:left w:val="nil"/>
              <w:bottom w:val="single" w:color="auto" w:sz="8" w:space="0"/>
              <w:right w:val="single" w:color="auto" w:sz="4" w:space="0"/>
            </w:tcBorders>
            <w:vAlign w:val="center"/>
          </w:tcPr>
          <w:p>
            <w:pPr>
              <w:jc w:val="both"/>
              <w:rPr>
                <w:rFonts w:ascii="黑体" w:eastAsia="黑体"/>
                <w:b/>
                <w:szCs w:val="21"/>
                <w:lang w:eastAsia="zh-CN"/>
              </w:rPr>
            </w:pPr>
            <w:r>
              <w:rPr>
                <w:rFonts w:hint="eastAsia"/>
                <w:b/>
                <w:szCs w:val="21"/>
              </w:rPr>
              <w:t>E</w:t>
            </w:r>
            <w:r>
              <w:rPr>
                <w:rFonts w:hint="eastAsia"/>
                <w:b/>
                <w:szCs w:val="21"/>
                <w:lang w:eastAsia="zh-CN"/>
              </w:rPr>
              <w:t>4</w:t>
            </w:r>
            <w:r>
              <w:rPr>
                <w:rFonts w:hint="eastAsia"/>
                <w:b/>
                <w:szCs w:val="21"/>
              </w:rPr>
              <w:t>0</w:t>
            </w:r>
            <w:r>
              <w:rPr>
                <w:rFonts w:hint="eastAsia"/>
                <w:b/>
                <w:szCs w:val="21"/>
                <w:lang w:eastAsia="zh-CN"/>
              </w:rPr>
              <w:t>1</w:t>
            </w:r>
            <w:r>
              <w:rPr>
                <w:rFonts w:hint="eastAsia"/>
                <w:b/>
                <w:szCs w:val="21"/>
              </w:rPr>
              <w:t>0</w:t>
            </w:r>
            <w:r>
              <w:rPr>
                <w:rFonts w:hint="eastAsia"/>
                <w:b/>
                <w:szCs w:val="21"/>
                <w:lang w:eastAsia="zh-CN"/>
              </w:rPr>
              <w:t>9</w:t>
            </w:r>
            <w:r>
              <w:rPr>
                <w:rFonts w:hint="eastAsia"/>
                <w:b/>
                <w:szCs w:val="21"/>
              </w:rPr>
              <w:t>0000</w:t>
            </w:r>
          </w:p>
        </w:tc>
        <w:tc>
          <w:tcPr>
            <w:tcW w:w="812" w:type="dxa"/>
            <w:tcBorders>
              <w:top w:val="single" w:color="auto" w:sz="8" w:space="0"/>
              <w:left w:val="nil"/>
              <w:bottom w:val="single" w:color="auto" w:sz="8" w:space="0"/>
              <w:right w:val="single" w:color="auto" w:sz="4" w:space="0"/>
            </w:tcBorders>
            <w:vAlign w:val="center"/>
          </w:tcPr>
          <w:p>
            <w:pPr>
              <w:jc w:val="both"/>
              <w:rPr>
                <w:rFonts w:ascii="黑体" w:eastAsia="黑体"/>
                <w:b/>
                <w:szCs w:val="21"/>
                <w:lang w:eastAsia="zh-CN"/>
              </w:rPr>
            </w:pPr>
          </w:p>
        </w:tc>
        <w:tc>
          <w:tcPr>
            <w:tcW w:w="2900"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b/>
                <w:szCs w:val="21"/>
                <w:lang w:eastAsia="zh-CN"/>
              </w:rPr>
              <w:t>4.9 智能无人飞行器制造</w:t>
            </w:r>
          </w:p>
        </w:tc>
        <w:tc>
          <w:tcPr>
            <w:tcW w:w="2975" w:type="dxa"/>
            <w:tcBorders>
              <w:top w:val="single" w:color="auto" w:sz="4" w:space="0"/>
              <w:left w:val="single" w:color="auto" w:sz="4" w:space="0"/>
              <w:bottom w:val="single" w:color="auto" w:sz="4" w:space="0"/>
              <w:right w:val="nil"/>
            </w:tcBorders>
            <w:vAlign w:val="center"/>
          </w:tcPr>
          <w:p>
            <w:pPr>
              <w:autoSpaceDE/>
              <w:autoSpaceDN/>
              <w:spacing w:line="500" w:lineRule="exact"/>
              <w:jc w:val="both"/>
              <w:rPr>
                <w:szCs w:val="21"/>
                <w:lang w:eastAsia="zh-CN"/>
              </w:rPr>
            </w:pP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9</w:t>
            </w:r>
            <w:r>
              <w:rPr>
                <w:rFonts w:hint="eastAsia"/>
                <w:bCs/>
                <w:szCs w:val="21"/>
              </w:rPr>
              <w:t>0</w:t>
            </w:r>
            <w:r>
              <w:rPr>
                <w:rFonts w:hint="eastAsia"/>
                <w:bCs/>
                <w:szCs w:val="21"/>
                <w:lang w:eastAsia="zh-CN"/>
              </w:rPr>
              <w:t>1</w:t>
            </w:r>
            <w:r>
              <w:rPr>
                <w:rFonts w:hint="eastAsia"/>
                <w:bCs/>
                <w:szCs w:val="21"/>
              </w:rPr>
              <w:t>00</w:t>
            </w:r>
          </w:p>
        </w:tc>
        <w:tc>
          <w:tcPr>
            <w:tcW w:w="812"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szCs w:val="21"/>
                <w:lang w:eastAsia="zh-CN"/>
              </w:rPr>
              <w:t>4.9.1 旋翼无人飞行器</w:t>
            </w:r>
          </w:p>
        </w:tc>
        <w:tc>
          <w:tcPr>
            <w:tcW w:w="2975" w:type="dxa"/>
            <w:tcBorders>
              <w:top w:val="single" w:color="auto" w:sz="4" w:space="0"/>
              <w:left w:val="single" w:color="auto" w:sz="4" w:space="0"/>
              <w:bottom w:val="single" w:color="auto" w:sz="4" w:space="0"/>
              <w:right w:val="nil"/>
            </w:tcBorders>
            <w:vAlign w:val="center"/>
          </w:tcPr>
          <w:p>
            <w:pPr>
              <w:autoSpaceDE/>
              <w:autoSpaceDN/>
              <w:spacing w:line="500" w:lineRule="exact"/>
              <w:jc w:val="both"/>
              <w:rPr>
                <w:szCs w:val="21"/>
                <w:lang w:eastAsia="zh-CN"/>
              </w:rPr>
            </w:pP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w:t>
            </w:r>
            <w:r>
              <w:rPr>
                <w:rFonts w:hint="eastAsia"/>
                <w:bCs/>
                <w:szCs w:val="21"/>
              </w:rPr>
              <w:t>0</w:t>
            </w:r>
            <w:r>
              <w:rPr>
                <w:rFonts w:hint="eastAsia"/>
                <w:bCs/>
                <w:szCs w:val="21"/>
                <w:lang w:eastAsia="zh-CN"/>
              </w:rPr>
              <w:t>9</w:t>
            </w:r>
            <w:r>
              <w:rPr>
                <w:rFonts w:hint="eastAsia"/>
                <w:bCs/>
                <w:szCs w:val="21"/>
              </w:rPr>
              <w:t>0</w:t>
            </w:r>
            <w:r>
              <w:rPr>
                <w:rFonts w:hint="eastAsia"/>
                <w:bCs/>
                <w:szCs w:val="21"/>
                <w:lang w:eastAsia="zh-CN"/>
              </w:rPr>
              <w:t>2</w:t>
            </w:r>
            <w:r>
              <w:rPr>
                <w:rFonts w:hint="eastAsia"/>
                <w:bCs/>
                <w:szCs w:val="21"/>
              </w:rPr>
              <w:t>00</w:t>
            </w:r>
          </w:p>
        </w:tc>
        <w:tc>
          <w:tcPr>
            <w:tcW w:w="812"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szCs w:val="21"/>
                <w:lang w:eastAsia="zh-CN"/>
              </w:rPr>
              <w:t>4.9.2 固定翼无人飞行器</w:t>
            </w:r>
          </w:p>
        </w:tc>
        <w:tc>
          <w:tcPr>
            <w:tcW w:w="2975" w:type="dxa"/>
            <w:tcBorders>
              <w:top w:val="single" w:color="auto" w:sz="4" w:space="0"/>
              <w:left w:val="single" w:color="auto" w:sz="4" w:space="0"/>
              <w:bottom w:val="single" w:color="auto" w:sz="4" w:space="0"/>
              <w:right w:val="nil"/>
            </w:tcBorders>
            <w:vAlign w:val="center"/>
          </w:tcPr>
          <w:p>
            <w:pPr>
              <w:autoSpaceDE/>
              <w:autoSpaceDN/>
              <w:spacing w:line="500" w:lineRule="exact"/>
              <w:jc w:val="both"/>
              <w:rPr>
                <w:szCs w:val="21"/>
                <w:lang w:eastAsia="zh-CN"/>
              </w:rPr>
            </w:pP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jc w:val="both"/>
              <w:rPr>
                <w:rFonts w:ascii="黑体" w:eastAsia="黑体"/>
                <w:b/>
                <w:szCs w:val="21"/>
                <w:lang w:eastAsia="zh-CN"/>
              </w:rPr>
            </w:pPr>
            <w:r>
              <w:rPr>
                <w:rFonts w:hint="eastAsia"/>
                <w:b/>
                <w:szCs w:val="21"/>
              </w:rPr>
              <w:t>E</w:t>
            </w:r>
            <w:r>
              <w:rPr>
                <w:rFonts w:hint="eastAsia"/>
                <w:b/>
                <w:szCs w:val="21"/>
                <w:lang w:eastAsia="zh-CN"/>
              </w:rPr>
              <w:t>4</w:t>
            </w:r>
            <w:r>
              <w:rPr>
                <w:rFonts w:hint="eastAsia"/>
                <w:b/>
                <w:szCs w:val="21"/>
              </w:rPr>
              <w:t>0</w:t>
            </w:r>
            <w:r>
              <w:rPr>
                <w:rFonts w:hint="eastAsia"/>
                <w:b/>
                <w:szCs w:val="21"/>
                <w:lang w:eastAsia="zh-CN"/>
              </w:rPr>
              <w:t>110</w:t>
            </w:r>
            <w:r>
              <w:rPr>
                <w:rFonts w:hint="eastAsia"/>
                <w:b/>
                <w:szCs w:val="21"/>
              </w:rPr>
              <w:t>0000</w:t>
            </w:r>
          </w:p>
        </w:tc>
        <w:tc>
          <w:tcPr>
            <w:tcW w:w="812" w:type="dxa"/>
            <w:tcBorders>
              <w:top w:val="single" w:color="auto" w:sz="8" w:space="0"/>
              <w:left w:val="nil"/>
              <w:bottom w:val="single" w:color="auto" w:sz="8" w:space="0"/>
              <w:right w:val="single" w:color="auto" w:sz="4" w:space="0"/>
            </w:tcBorders>
            <w:vAlign w:val="center"/>
          </w:tcPr>
          <w:p>
            <w:pPr>
              <w:jc w:val="both"/>
              <w:rPr>
                <w:rFonts w:ascii="黑体" w:eastAsia="黑体"/>
                <w:b/>
                <w:szCs w:val="21"/>
                <w:lang w:eastAsia="zh-CN"/>
              </w:rPr>
            </w:pPr>
          </w:p>
        </w:tc>
        <w:tc>
          <w:tcPr>
            <w:tcW w:w="2900"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b/>
                <w:szCs w:val="21"/>
                <w:lang w:eastAsia="zh-CN"/>
              </w:rPr>
              <w:t>4.10 服务消费机器人制造</w:t>
            </w:r>
          </w:p>
        </w:tc>
        <w:tc>
          <w:tcPr>
            <w:tcW w:w="2975" w:type="dxa"/>
            <w:tcBorders>
              <w:top w:val="single" w:color="auto" w:sz="4" w:space="0"/>
              <w:left w:val="single" w:color="auto" w:sz="4" w:space="0"/>
              <w:bottom w:val="single" w:color="auto" w:sz="4" w:space="0"/>
              <w:right w:val="nil"/>
            </w:tcBorders>
            <w:vAlign w:val="center"/>
          </w:tcPr>
          <w:p>
            <w:pPr>
              <w:autoSpaceDE/>
              <w:autoSpaceDN/>
              <w:jc w:val="both"/>
              <w:rPr>
                <w:szCs w:val="21"/>
                <w:lang w:eastAsia="zh-CN"/>
              </w:rPr>
            </w:pPr>
            <w:r>
              <w:rPr>
                <w:rFonts w:hint="eastAsia"/>
                <w:szCs w:val="21"/>
                <w:lang w:eastAsia="zh-CN"/>
              </w:rPr>
              <w:t>指除工业和特殊作业以外的各种机器人，包括用于个人、家庭及商业服务类机器人。</w:t>
            </w: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47"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110</w:t>
            </w:r>
            <w:r>
              <w:rPr>
                <w:rFonts w:hint="eastAsia"/>
                <w:bCs/>
                <w:szCs w:val="21"/>
              </w:rPr>
              <w:t>0</w:t>
            </w:r>
            <w:r>
              <w:rPr>
                <w:rFonts w:hint="eastAsia"/>
                <w:bCs/>
                <w:szCs w:val="21"/>
                <w:lang w:eastAsia="zh-CN"/>
              </w:rPr>
              <w:t>1</w:t>
            </w:r>
            <w:r>
              <w:rPr>
                <w:rFonts w:hint="eastAsia"/>
                <w:bCs/>
                <w:szCs w:val="21"/>
              </w:rPr>
              <w:t>00</w:t>
            </w:r>
          </w:p>
        </w:tc>
        <w:tc>
          <w:tcPr>
            <w:tcW w:w="812"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szCs w:val="21"/>
                <w:lang w:eastAsia="zh-CN"/>
              </w:rPr>
              <w:t>4.10.1 个人、家庭服务类机器人</w:t>
            </w:r>
          </w:p>
        </w:tc>
        <w:tc>
          <w:tcPr>
            <w:tcW w:w="2975" w:type="dxa"/>
            <w:tcBorders>
              <w:top w:val="single" w:color="auto" w:sz="4" w:space="0"/>
              <w:left w:val="single" w:color="auto" w:sz="4" w:space="0"/>
              <w:bottom w:val="single" w:color="auto" w:sz="4" w:space="0"/>
              <w:right w:val="nil"/>
            </w:tcBorders>
            <w:vAlign w:val="center"/>
          </w:tcPr>
          <w:p>
            <w:pPr>
              <w:autoSpaceDE/>
              <w:autoSpaceDN/>
              <w:spacing w:line="500" w:lineRule="exact"/>
              <w:jc w:val="both"/>
              <w:rPr>
                <w:szCs w:val="21"/>
                <w:lang w:eastAsia="zh-CN"/>
              </w:rPr>
            </w:pP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7"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bCs/>
                <w:szCs w:val="21"/>
              </w:rPr>
              <w:t>E</w:t>
            </w:r>
            <w:r>
              <w:rPr>
                <w:rFonts w:hint="eastAsia"/>
                <w:bCs/>
                <w:szCs w:val="21"/>
                <w:lang w:eastAsia="zh-CN"/>
              </w:rPr>
              <w:t>4</w:t>
            </w:r>
            <w:r>
              <w:rPr>
                <w:rFonts w:hint="eastAsia"/>
                <w:bCs/>
                <w:szCs w:val="21"/>
              </w:rPr>
              <w:t>0</w:t>
            </w:r>
            <w:r>
              <w:rPr>
                <w:rFonts w:hint="eastAsia"/>
                <w:bCs/>
                <w:szCs w:val="21"/>
                <w:lang w:eastAsia="zh-CN"/>
              </w:rPr>
              <w:t>110</w:t>
            </w:r>
            <w:r>
              <w:rPr>
                <w:rFonts w:hint="eastAsia"/>
                <w:bCs/>
                <w:szCs w:val="21"/>
              </w:rPr>
              <w:t>0</w:t>
            </w:r>
            <w:r>
              <w:rPr>
                <w:rFonts w:hint="eastAsia"/>
                <w:bCs/>
                <w:szCs w:val="21"/>
                <w:lang w:eastAsia="zh-CN"/>
              </w:rPr>
              <w:t>2</w:t>
            </w:r>
            <w:r>
              <w:rPr>
                <w:rFonts w:hint="eastAsia"/>
                <w:bCs/>
                <w:szCs w:val="21"/>
              </w:rPr>
              <w:t>00</w:t>
            </w:r>
          </w:p>
        </w:tc>
        <w:tc>
          <w:tcPr>
            <w:tcW w:w="812"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szCs w:val="21"/>
                <w:lang w:eastAsia="zh-CN"/>
              </w:rPr>
              <w:t>录入</w:t>
            </w:r>
          </w:p>
        </w:tc>
        <w:tc>
          <w:tcPr>
            <w:tcW w:w="2900" w:type="dxa"/>
            <w:tcBorders>
              <w:top w:val="single" w:color="auto" w:sz="8" w:space="0"/>
              <w:left w:val="nil"/>
              <w:bottom w:val="single" w:color="auto" w:sz="8" w:space="0"/>
              <w:right w:val="single" w:color="auto" w:sz="4" w:space="0"/>
            </w:tcBorders>
            <w:vAlign w:val="center"/>
          </w:tcPr>
          <w:p>
            <w:pPr>
              <w:jc w:val="both"/>
              <w:rPr>
                <w:rFonts w:ascii="黑体" w:eastAsia="黑体"/>
                <w:szCs w:val="21"/>
                <w:lang w:eastAsia="zh-CN"/>
              </w:rPr>
            </w:pPr>
            <w:r>
              <w:rPr>
                <w:rFonts w:hint="eastAsia" w:ascii="黑体" w:eastAsia="黑体"/>
                <w:szCs w:val="21"/>
                <w:lang w:eastAsia="zh-CN"/>
              </w:rPr>
              <w:t>4.10.2 商业服务类机器人</w:t>
            </w:r>
          </w:p>
        </w:tc>
        <w:tc>
          <w:tcPr>
            <w:tcW w:w="2975" w:type="dxa"/>
            <w:tcBorders>
              <w:top w:val="single" w:color="auto" w:sz="4" w:space="0"/>
              <w:left w:val="single" w:color="auto" w:sz="4" w:space="0"/>
              <w:bottom w:val="single" w:color="auto" w:sz="4" w:space="0"/>
              <w:right w:val="nil"/>
            </w:tcBorders>
            <w:vAlign w:val="center"/>
          </w:tcPr>
          <w:p>
            <w:pPr>
              <w:autoSpaceDE/>
              <w:autoSpaceDN/>
              <w:spacing w:line="500" w:lineRule="exact"/>
              <w:jc w:val="both"/>
              <w:rPr>
                <w:szCs w:val="21"/>
                <w:lang w:eastAsia="zh-CN"/>
              </w:rPr>
            </w:pPr>
          </w:p>
        </w:tc>
        <w:tc>
          <w:tcPr>
            <w:tcW w:w="1191" w:type="dxa"/>
            <w:tcBorders>
              <w:top w:val="single" w:color="auto" w:sz="4" w:space="0"/>
              <w:left w:val="single" w:color="auto" w:sz="4" w:space="0"/>
              <w:bottom w:val="single" w:color="auto" w:sz="4" w:space="0"/>
              <w:right w:val="nil"/>
            </w:tcBorders>
            <w:vAlign w:val="center"/>
          </w:tcPr>
          <w:p>
            <w:pPr>
              <w:rPr>
                <w:szCs w:val="21"/>
                <w:lang w:eastAsia="zh-CN"/>
              </w:rPr>
            </w:pPr>
          </w:p>
        </w:tc>
      </w:tr>
    </w:tbl>
    <w:p>
      <w:pPr>
        <w:spacing w:line="273" w:lineRule="auto"/>
        <w:rPr>
          <w:sz w:val="21"/>
          <w:lang w:eastAsia="zh-CN"/>
        </w:rPr>
      </w:pPr>
    </w:p>
    <w:p>
      <w:pPr>
        <w:spacing w:line="360" w:lineRule="auto"/>
        <w:rPr>
          <w:rFonts w:ascii="黑体" w:hAnsi="黑体" w:eastAsia="黑体" w:cs="黑体"/>
          <w:sz w:val="21"/>
          <w:lang w:eastAsia="zh-CN"/>
        </w:rPr>
      </w:pPr>
      <w:r>
        <w:rPr>
          <w:rFonts w:hint="eastAsia" w:ascii="黑体" w:hAnsi="黑体" w:eastAsia="黑体" w:cs="黑体"/>
          <w:sz w:val="21"/>
          <w:lang w:eastAsia="zh-CN"/>
        </w:rPr>
        <w:t>计算方法说明：</w:t>
      </w:r>
    </w:p>
    <w:p>
      <w:pPr>
        <w:spacing w:line="360" w:lineRule="auto"/>
        <w:ind w:firstLine="420" w:firstLineChars="200"/>
        <w:jc w:val="both"/>
        <w:rPr>
          <w:sz w:val="21"/>
          <w:lang w:eastAsia="zh-CN"/>
        </w:rPr>
      </w:pPr>
      <w:r>
        <w:rPr>
          <w:rFonts w:hint="eastAsia"/>
          <w:sz w:val="21"/>
          <w:lang w:eastAsia="zh-CN"/>
        </w:rPr>
        <w:t>随着产业融合发展不断深入，当前嵌入式系统软件统计面临新的问题和困难。为更加客观、真实、准确反映产业融合发展态势，推动软件和信息技术服务业统计监测体系不断完善，2017年工业和信息化部运行监测协调局经过调查测算和广泛征求意见，在原来嵌入式系统软件产品目录基础上调整形成了“应用嵌入式系统软件的产品”分类，并重新修订了产品中嵌入式系统软件收入的计算方法。</w:t>
      </w:r>
    </w:p>
    <w:p>
      <w:pPr>
        <w:spacing w:line="360" w:lineRule="auto"/>
        <w:ind w:firstLine="421" w:firstLineChars="200"/>
        <w:rPr>
          <w:b/>
          <w:bCs/>
          <w:sz w:val="21"/>
          <w:lang w:eastAsia="zh-CN"/>
        </w:rPr>
      </w:pPr>
      <w:r>
        <w:rPr>
          <w:rFonts w:hint="eastAsia"/>
          <w:b/>
          <w:bCs/>
          <w:sz w:val="21"/>
          <w:lang w:eastAsia="zh-CN"/>
        </w:rPr>
        <w:t>1.产品目录修订原则</w:t>
      </w:r>
    </w:p>
    <w:p>
      <w:pPr>
        <w:spacing w:line="360" w:lineRule="auto"/>
        <w:ind w:firstLine="420" w:firstLineChars="200"/>
        <w:jc w:val="both"/>
        <w:rPr>
          <w:sz w:val="21"/>
          <w:lang w:eastAsia="zh-CN"/>
        </w:rPr>
      </w:pPr>
      <w:r>
        <w:rPr>
          <w:rFonts w:hint="eastAsia"/>
          <w:sz w:val="21"/>
          <w:lang w:eastAsia="zh-CN"/>
        </w:rPr>
        <w:t>（1）产品智能化程度较高，软件价值占产品整体价值的比重不低于30%；</w:t>
      </w:r>
    </w:p>
    <w:p>
      <w:pPr>
        <w:spacing w:line="360" w:lineRule="auto"/>
        <w:ind w:firstLine="420" w:firstLineChars="200"/>
        <w:jc w:val="both"/>
        <w:rPr>
          <w:sz w:val="21"/>
          <w:lang w:eastAsia="zh-CN"/>
        </w:rPr>
      </w:pPr>
      <w:r>
        <w:rPr>
          <w:rFonts w:hint="eastAsia"/>
          <w:sz w:val="21"/>
          <w:lang w:eastAsia="zh-CN"/>
        </w:rPr>
        <w:t>（2）产品能够体现智能制造的发展方向；</w:t>
      </w:r>
    </w:p>
    <w:p>
      <w:pPr>
        <w:spacing w:line="360" w:lineRule="auto"/>
        <w:ind w:firstLine="420" w:firstLineChars="200"/>
        <w:jc w:val="both"/>
        <w:rPr>
          <w:sz w:val="21"/>
          <w:lang w:eastAsia="zh-CN"/>
        </w:rPr>
      </w:pPr>
      <w:r>
        <w:rPr>
          <w:rFonts w:hint="eastAsia"/>
          <w:sz w:val="21"/>
          <w:lang w:eastAsia="zh-CN"/>
        </w:rPr>
        <w:t>（3）产品对扩大和升级信息消费、促进产业结构转型升级具有重要意义；</w:t>
      </w:r>
    </w:p>
    <w:p>
      <w:pPr>
        <w:spacing w:line="360" w:lineRule="auto"/>
        <w:ind w:firstLine="421" w:firstLineChars="200"/>
        <w:jc w:val="both"/>
        <w:rPr>
          <w:b/>
          <w:bCs/>
          <w:sz w:val="21"/>
          <w:lang w:eastAsia="zh-CN"/>
        </w:rPr>
      </w:pPr>
      <w:r>
        <w:rPr>
          <w:rFonts w:hint="eastAsia"/>
          <w:b/>
          <w:bCs/>
          <w:sz w:val="21"/>
          <w:lang w:eastAsia="zh-CN"/>
        </w:rPr>
        <w:t>2.计算方法</w:t>
      </w:r>
    </w:p>
    <w:p>
      <w:pPr>
        <w:spacing w:line="360" w:lineRule="auto"/>
        <w:ind w:firstLine="421" w:firstLineChars="200"/>
        <w:jc w:val="both"/>
        <w:rPr>
          <w:sz w:val="21"/>
          <w:szCs w:val="21"/>
          <w:lang w:eastAsia="zh-CN"/>
        </w:rPr>
      </w:pPr>
      <w:r>
        <w:rPr>
          <w:rFonts w:hint="eastAsia"/>
          <w:b/>
          <w:bCs/>
          <w:sz w:val="21"/>
          <w:szCs w:val="21"/>
          <w:lang w:eastAsia="zh-CN"/>
        </w:rPr>
        <w:t>（1）计算公式设定。</w:t>
      </w:r>
      <w:r>
        <w:rPr>
          <w:rFonts w:hint="eastAsia"/>
          <w:sz w:val="21"/>
          <w:szCs w:val="21"/>
          <w:lang w:eastAsia="zh-CN"/>
        </w:rPr>
        <w:t>借鉴财政部、国家税务总局《关于软件产品增值税政策的通知》（财税[2011]100号）中嵌入式软件计算方法，根据软件和硬件的增值率来划分嵌入式系统软件和硬件部分的收入。具体计算公式为：</w:t>
      </w:r>
    </w:p>
    <w:p>
      <w:pPr>
        <w:spacing w:line="360" w:lineRule="auto"/>
        <w:ind w:firstLine="421" w:firstLineChars="200"/>
        <w:rPr>
          <w:sz w:val="21"/>
          <w:szCs w:val="21"/>
          <w:lang w:eastAsia="zh-CN"/>
        </w:rPr>
      </w:pPr>
      <w:r>
        <w:rPr>
          <w:rFonts w:hint="eastAsia"/>
          <w:b/>
          <w:sz w:val="21"/>
          <w:szCs w:val="21"/>
          <w:lang w:eastAsia="zh-CN"/>
        </w:rPr>
        <w:t>嵌入式系统软件收入</w:t>
      </w:r>
      <w:r>
        <w:rPr>
          <w:rFonts w:hint="eastAsia"/>
          <w:sz w:val="21"/>
          <w:szCs w:val="21"/>
          <w:lang w:eastAsia="zh-CN"/>
        </w:rPr>
        <w:t>=(主营业务毛利润-纯软业务毛利润）*嵌入式系统软件增值系数90%</w:t>
      </w:r>
    </w:p>
    <w:p>
      <w:pPr>
        <w:spacing w:line="360" w:lineRule="auto"/>
        <w:ind w:firstLine="420" w:firstLineChars="200"/>
        <w:rPr>
          <w:sz w:val="21"/>
          <w:szCs w:val="21"/>
          <w:lang w:eastAsia="zh-CN"/>
        </w:rPr>
      </w:pPr>
      <w:r>
        <w:rPr>
          <w:rFonts w:hint="eastAsia"/>
          <w:sz w:val="21"/>
          <w:szCs w:val="21"/>
          <w:lang w:eastAsia="zh-CN"/>
        </w:rPr>
        <w:t>其中：纯软业务毛利润=纯软件收入*30%（行业平均毛利率）</w:t>
      </w:r>
    </w:p>
    <w:p>
      <w:pPr>
        <w:spacing w:line="360" w:lineRule="auto"/>
        <w:ind w:firstLine="421" w:firstLineChars="200"/>
        <w:rPr>
          <w:sz w:val="21"/>
          <w:szCs w:val="21"/>
          <w:lang w:eastAsia="zh-CN"/>
        </w:rPr>
      </w:pPr>
      <w:r>
        <w:rPr>
          <w:rFonts w:hint="eastAsia"/>
          <w:b/>
          <w:sz w:val="21"/>
          <w:szCs w:val="21"/>
          <w:lang w:eastAsia="zh-CN"/>
        </w:rPr>
        <w:t>嵌入式系统软件出口</w:t>
      </w:r>
      <w:r>
        <w:rPr>
          <w:rFonts w:hint="eastAsia"/>
          <w:sz w:val="21"/>
          <w:szCs w:val="21"/>
          <w:lang w:eastAsia="zh-CN"/>
        </w:rPr>
        <w:t>=（嵌入式系统软件收入/主营业务收入）*应用嵌入式系统软件的产品出口额</w:t>
      </w:r>
    </w:p>
    <w:p>
      <w:pPr>
        <w:spacing w:line="360" w:lineRule="auto"/>
        <w:ind w:firstLine="420" w:firstLineChars="200"/>
        <w:rPr>
          <w:sz w:val="21"/>
          <w:szCs w:val="21"/>
          <w:lang w:eastAsia="zh-CN"/>
        </w:rPr>
      </w:pPr>
      <w:r>
        <w:rPr>
          <w:rFonts w:hint="eastAsia"/>
          <w:sz w:val="21"/>
          <w:szCs w:val="21"/>
          <w:lang w:eastAsia="zh-CN"/>
        </w:rPr>
        <w:t>其中，毛利润是指主营业务收入扣除主营业务成本后的利润部分，主营业务成本是企业制造产品的直接成本，包括原料成本、物料成本、工人直接工资等，不包括企业的管理费用、财务费用、销售费用、税收等。按照软件制度中嵌入式系统软件统计要求，纳入统计的嵌入式系统软件产品必须是企业自主研发的产品，直接外购镶嵌在硬件产品中的软件不能纳入统计。因此，嵌入式系统软件收入主要体现在毛利润中，按照增值系数计算嵌入式系统软件收入时应首先将主营业务成本扣除。</w:t>
      </w:r>
    </w:p>
    <w:p>
      <w:pPr>
        <w:spacing w:line="360" w:lineRule="auto"/>
        <w:ind w:firstLine="421" w:firstLineChars="200"/>
        <w:rPr>
          <w:sz w:val="21"/>
          <w:szCs w:val="21"/>
          <w:lang w:eastAsia="zh-CN"/>
        </w:rPr>
      </w:pPr>
      <w:r>
        <w:rPr>
          <w:rFonts w:hint="eastAsia"/>
          <w:b/>
          <w:bCs/>
          <w:sz w:val="21"/>
          <w:szCs w:val="21"/>
          <w:lang w:eastAsia="zh-CN"/>
        </w:rPr>
        <w:t>（2）软硬件增值率设定的依据。</w:t>
      </w:r>
      <w:r>
        <w:rPr>
          <w:rFonts w:hint="eastAsia"/>
          <w:sz w:val="21"/>
          <w:szCs w:val="21"/>
          <w:lang w:eastAsia="zh-CN"/>
        </w:rPr>
        <w:t>按照财政部、国家税务总局《关于软件产品增值税政策的通知》（财税[2011]100号）要求，硬件设备的成本增值率按10%计算。因此，嵌入式系统软件的增值率统一确定为90%。</w:t>
      </w:r>
    </w:p>
    <w:p>
      <w:pPr>
        <w:spacing w:line="360" w:lineRule="auto"/>
        <w:ind w:firstLine="421" w:firstLineChars="200"/>
        <w:rPr>
          <w:sz w:val="21"/>
          <w:szCs w:val="21"/>
          <w:lang w:eastAsia="zh-CN"/>
        </w:rPr>
      </w:pPr>
      <w:r>
        <w:rPr>
          <w:rFonts w:hint="eastAsia"/>
          <w:b/>
          <w:bCs/>
          <w:sz w:val="21"/>
          <w:szCs w:val="21"/>
          <w:lang w:eastAsia="zh-CN"/>
        </w:rPr>
        <w:t>（3）应用嵌入式系统软件的产品出口额：</w:t>
      </w:r>
      <w:r>
        <w:rPr>
          <w:rFonts w:hint="eastAsia"/>
          <w:sz w:val="21"/>
          <w:szCs w:val="21"/>
          <w:lang w:eastAsia="zh-CN"/>
        </w:rPr>
        <w:t>指企业出口《附录三 应用嵌入式系统软件的产品目录及计算方法》中硬件产品的出口额。</w:t>
      </w:r>
    </w:p>
    <w:p>
      <w:pPr>
        <w:spacing w:line="360" w:lineRule="auto"/>
        <w:ind w:firstLine="421" w:firstLineChars="200"/>
        <w:rPr>
          <w:sz w:val="21"/>
          <w:szCs w:val="21"/>
          <w:lang w:eastAsia="zh-CN"/>
        </w:rPr>
      </w:pPr>
      <w:r>
        <w:rPr>
          <w:rFonts w:hint="eastAsia"/>
          <w:b/>
          <w:bCs/>
          <w:sz w:val="21"/>
          <w:szCs w:val="21"/>
          <w:lang w:eastAsia="zh-CN"/>
        </w:rPr>
        <w:t>（4）特例：</w:t>
      </w:r>
      <w:r>
        <w:rPr>
          <w:rFonts w:hint="eastAsia"/>
          <w:sz w:val="21"/>
          <w:szCs w:val="21"/>
          <w:lang w:eastAsia="zh-CN"/>
        </w:rPr>
        <w:t>若企业主营业务有纯软部分，纯软收入（软件产品、信息技术服务、信息安全等软件和信息技术服务收入）需在企业主营业务收入中扣除后，再计算嵌入式系统软件收入，计算公式为：</w:t>
      </w:r>
    </w:p>
    <w:p>
      <w:pPr>
        <w:spacing w:line="360" w:lineRule="auto"/>
        <w:ind w:firstLine="420" w:firstLineChars="200"/>
        <w:rPr>
          <w:sz w:val="21"/>
          <w:szCs w:val="21"/>
          <w:lang w:eastAsia="zh-CN"/>
        </w:rPr>
      </w:pPr>
      <w:r>
        <w:rPr>
          <w:rFonts w:hint="eastAsia"/>
          <w:sz w:val="21"/>
          <w:szCs w:val="21"/>
          <w:lang w:eastAsia="zh-CN"/>
        </w:rPr>
        <w:t>嵌入式系统软件收入=（企业主营业务收入-主营业务成本-纯软件业务收入）*嵌入式系统软件增值系数90%</w:t>
      </w:r>
    </w:p>
    <w:p>
      <w:pPr>
        <w:spacing w:line="360" w:lineRule="auto"/>
        <w:ind w:firstLine="421" w:firstLineChars="200"/>
        <w:rPr>
          <w:b/>
          <w:bCs/>
          <w:sz w:val="21"/>
          <w:szCs w:val="21"/>
          <w:lang w:eastAsia="zh-CN"/>
        </w:rPr>
      </w:pPr>
      <w:r>
        <w:rPr>
          <w:rFonts w:hint="eastAsia"/>
          <w:b/>
          <w:bCs/>
          <w:sz w:val="21"/>
          <w:szCs w:val="21"/>
          <w:lang w:eastAsia="zh-CN"/>
        </w:rPr>
        <w:t>3.数据来源和操作步骤</w:t>
      </w:r>
    </w:p>
    <w:p>
      <w:pPr>
        <w:spacing w:line="360" w:lineRule="auto"/>
        <w:ind w:firstLine="421" w:firstLineChars="200"/>
        <w:rPr>
          <w:sz w:val="21"/>
          <w:szCs w:val="21"/>
          <w:lang w:eastAsia="zh-CN"/>
        </w:rPr>
      </w:pPr>
      <w:r>
        <w:rPr>
          <w:rFonts w:hint="eastAsia"/>
          <w:b/>
          <w:bCs/>
          <w:sz w:val="21"/>
          <w:szCs w:val="21"/>
          <w:lang w:eastAsia="zh-CN"/>
        </w:rPr>
        <w:t>数据来源：</w:t>
      </w:r>
      <w:r>
        <w:rPr>
          <w:rFonts w:hint="eastAsia"/>
          <w:sz w:val="21"/>
          <w:szCs w:val="21"/>
          <w:lang w:eastAsia="zh-CN"/>
        </w:rPr>
        <w:t>以软件统计主管部门自行统计为主，可辅助以从电子信息制造业统计制度中取数，具体操作为：</w:t>
      </w:r>
    </w:p>
    <w:p>
      <w:pPr>
        <w:spacing w:line="360" w:lineRule="auto"/>
        <w:ind w:firstLine="421" w:firstLineChars="200"/>
        <w:rPr>
          <w:sz w:val="21"/>
          <w:szCs w:val="21"/>
          <w:lang w:eastAsia="zh-CN"/>
        </w:rPr>
      </w:pPr>
      <w:r>
        <w:rPr>
          <w:rFonts w:hint="eastAsia"/>
          <w:b/>
          <w:bCs/>
          <w:sz w:val="21"/>
          <w:szCs w:val="21"/>
          <w:lang w:eastAsia="zh-CN"/>
        </w:rPr>
        <w:t>一是，</w:t>
      </w:r>
      <w:r>
        <w:rPr>
          <w:rFonts w:hint="eastAsia"/>
          <w:sz w:val="21"/>
          <w:szCs w:val="21"/>
          <w:lang w:eastAsia="zh-CN"/>
        </w:rPr>
        <w:t>自行统计时，由企业按照目录范围填报数据。在目录范围内的企业按照软件制度统计报表填报数据，确保主营业务收入、主营业务成本以及应用嵌入式系统软件的产品出口额三项指标填报准确，不必再自行计算填报嵌入式系统软件收入、嵌入式系统软件出口数据。</w:t>
      </w:r>
    </w:p>
    <w:p>
      <w:pPr>
        <w:spacing w:line="360" w:lineRule="auto"/>
        <w:ind w:firstLine="421" w:firstLineChars="200"/>
        <w:rPr>
          <w:sz w:val="21"/>
          <w:szCs w:val="21"/>
          <w:lang w:eastAsia="zh-CN"/>
        </w:rPr>
      </w:pPr>
      <w:r>
        <w:rPr>
          <w:rFonts w:hint="eastAsia"/>
          <w:b/>
          <w:bCs/>
          <w:sz w:val="21"/>
          <w:szCs w:val="21"/>
          <w:lang w:eastAsia="zh-CN"/>
        </w:rPr>
        <w:t>二是，</w:t>
      </w:r>
      <w:r>
        <w:rPr>
          <w:rFonts w:hint="eastAsia"/>
          <w:sz w:val="21"/>
          <w:szCs w:val="21"/>
          <w:lang w:eastAsia="zh-CN"/>
        </w:rPr>
        <w:t>可选择从电子制造业制度中直接筛取部分企业数据。对于目录中可实现与电子信息制造业对应的部分（新修订的目录在“备注”栏，把无法与电子信息制造业制度对应部分做了标注），可选择从制造业制度中直接将对应企业及报表提取出来。</w:t>
      </w:r>
    </w:p>
    <w:p>
      <w:pPr>
        <w:spacing w:line="360" w:lineRule="auto"/>
        <w:ind w:firstLine="421" w:firstLineChars="200"/>
        <w:rPr>
          <w:rFonts w:eastAsiaTheme="minorEastAsia"/>
          <w:lang w:eastAsia="zh-CN"/>
        </w:rPr>
      </w:pPr>
      <w:r>
        <w:rPr>
          <w:rFonts w:hint="eastAsia"/>
          <w:b/>
          <w:bCs/>
          <w:sz w:val="21"/>
          <w:szCs w:val="21"/>
          <w:lang w:eastAsia="zh-CN"/>
        </w:rPr>
        <w:t>三是，</w:t>
      </w:r>
      <w:r>
        <w:rPr>
          <w:rFonts w:hint="eastAsia"/>
          <w:sz w:val="21"/>
          <w:szCs w:val="21"/>
          <w:lang w:eastAsia="zh-CN"/>
        </w:rPr>
        <w:t>计算嵌入式系统软件收入等。各省市软件统计主管部门在通过软件统计制度或电子制造业统计制度汇总企业数据后，根据成本扣除法计算本省市嵌入式系统软件收入、嵌入式系统软件出口数据。其中，在计算电软统综1表中嵌入式系统软件收入和出口数据时，主营收入、主营成本数据可从电软统企1表中取得。</w:t>
      </w:r>
    </w:p>
    <w:sectPr>
      <w:footerReference r:id="rId4" w:type="default"/>
      <w:footerReference r:id="rId5" w:type="even"/>
      <w:pgSz w:w="11910" w:h="16840"/>
      <w:pgMar w:top="1260" w:right="1580" w:bottom="1180" w:left="1580" w:header="0" w:footer="93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Microsoft JhengHei">
    <w:altName w:val="宋体"/>
    <w:panose1 w:val="020B0604030504040204"/>
    <w:charset w:val="88"/>
    <w:family w:val="swiss"/>
    <w:pitch w:val="default"/>
    <w:sig w:usb0="00000000" w:usb1="00000000" w:usb2="00000016" w:usb3="00000000" w:csb0="00100009" w:csb1="00000000"/>
  </w:font>
  <w:font w:name="Courier New">
    <w:altName w:val="DejaVu Sans"/>
    <w:panose1 w:val="02070309020205020404"/>
    <w:charset w:val="00"/>
    <w:family w:val="moder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line="14" w:lineRule="auto"/>
      <w:rPr>
        <w:sz w:val="20"/>
      </w:rPr>
    </w:pPr>
    <w:r>
      <w:pict>
        <v:shape id="_x0000_s2086" o:spid="_x0000_s2086" o:spt="202" type="#_x0000_t202" style="position:absolute;left:0pt;margin-left:291.15pt;margin-top:781.2pt;height:12pt;width:13.1pt;mso-position-horizontal-relative:page;mso-position-vertical-relative:page;z-index:-251659264;mso-width-relative:page;mso-height-relative:page;" filled="f" stroked="f" coordsize="21600,2160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line="14" w:lineRule="auto"/>
      <w:rPr>
        <w:sz w:val="20"/>
      </w:rPr>
    </w:pPr>
    <w:r>
      <w:pict>
        <v:shape id="_x0000_s2058" o:spid="_x0000_s2058" o:spt="202" type="#_x0000_t202" style="position:absolute;left:0pt;margin-left:291.15pt;margin-top:781.2pt;height:12pt;width:13.1pt;mso-position-horizontal-relative:page;mso-position-vertical-relative:page;z-index:-251658240;mso-width-relative:page;mso-height-relative:page;" filled="f" stroked="f" coordsize="21600,2160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21</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line="14" w:lineRule="auto"/>
      <w:rPr>
        <w:sz w:val="20"/>
      </w:rPr>
    </w:pPr>
    <w:r>
      <w:pict>
        <v:shape id="_x0000_s2057" o:spid="_x0000_s2057" o:spt="202" type="#_x0000_t202" style="position:absolute;left:0pt;margin-left:291.15pt;margin-top:781.2pt;height:12pt;width:13.1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40</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FBDE13"/>
    <w:multiLevelType w:val="multilevel"/>
    <w:tmpl w:val="5AFBDE13"/>
    <w:lvl w:ilvl="0" w:tentative="0">
      <w:start w:val="1"/>
      <w:numFmt w:val="decimal"/>
      <w:lvlText w:val="%1."/>
      <w:lvlJc w:val="left"/>
      <w:pPr>
        <w:ind w:left="104" w:hanging="317"/>
      </w:pPr>
      <w:rPr>
        <w:rFonts w:hint="default" w:ascii="黑体" w:hAnsi="黑体" w:eastAsia="黑体" w:cs="黑体"/>
        <w:b/>
        <w:bCs/>
        <w:spacing w:val="0"/>
        <w:w w:val="98"/>
        <w:sz w:val="21"/>
        <w:szCs w:val="21"/>
      </w:rPr>
    </w:lvl>
    <w:lvl w:ilvl="1" w:tentative="0">
      <w:start w:val="1"/>
      <w:numFmt w:val="decimal"/>
      <w:lvlText w:val="（%2）"/>
      <w:lvlJc w:val="left"/>
      <w:pPr>
        <w:ind w:left="1285" w:hanging="632"/>
      </w:pPr>
      <w:rPr>
        <w:rFonts w:hint="default" w:ascii="宋体" w:hAnsi="宋体" w:eastAsia="宋体" w:cs="宋体"/>
        <w:b/>
        <w:bCs/>
        <w:spacing w:val="-1"/>
        <w:w w:val="99"/>
        <w:sz w:val="21"/>
        <w:szCs w:val="21"/>
      </w:rPr>
    </w:lvl>
    <w:lvl w:ilvl="2" w:tentative="0">
      <w:start w:val="0"/>
      <w:numFmt w:val="bullet"/>
      <w:lvlText w:val="•"/>
      <w:lvlJc w:val="left"/>
      <w:pPr>
        <w:ind w:left="2109" w:hanging="632"/>
      </w:pPr>
      <w:rPr>
        <w:rFonts w:hint="default"/>
      </w:rPr>
    </w:lvl>
    <w:lvl w:ilvl="3" w:tentative="0">
      <w:start w:val="0"/>
      <w:numFmt w:val="bullet"/>
      <w:lvlText w:val="•"/>
      <w:lvlJc w:val="left"/>
      <w:pPr>
        <w:ind w:left="2939" w:hanging="632"/>
      </w:pPr>
      <w:rPr>
        <w:rFonts w:hint="default"/>
      </w:rPr>
    </w:lvl>
    <w:lvl w:ilvl="4" w:tentative="0">
      <w:start w:val="0"/>
      <w:numFmt w:val="bullet"/>
      <w:lvlText w:val="•"/>
      <w:lvlJc w:val="left"/>
      <w:pPr>
        <w:ind w:left="3768" w:hanging="632"/>
      </w:pPr>
      <w:rPr>
        <w:rFonts w:hint="default"/>
      </w:rPr>
    </w:lvl>
    <w:lvl w:ilvl="5" w:tentative="0">
      <w:start w:val="0"/>
      <w:numFmt w:val="bullet"/>
      <w:lvlText w:val="•"/>
      <w:lvlJc w:val="left"/>
      <w:pPr>
        <w:ind w:left="4598" w:hanging="632"/>
      </w:pPr>
      <w:rPr>
        <w:rFonts w:hint="default"/>
      </w:rPr>
    </w:lvl>
    <w:lvl w:ilvl="6" w:tentative="0">
      <w:start w:val="0"/>
      <w:numFmt w:val="bullet"/>
      <w:lvlText w:val="•"/>
      <w:lvlJc w:val="left"/>
      <w:pPr>
        <w:ind w:left="5427" w:hanging="632"/>
      </w:pPr>
      <w:rPr>
        <w:rFonts w:hint="default"/>
      </w:rPr>
    </w:lvl>
    <w:lvl w:ilvl="7" w:tentative="0">
      <w:start w:val="0"/>
      <w:numFmt w:val="bullet"/>
      <w:lvlText w:val="•"/>
      <w:lvlJc w:val="left"/>
      <w:pPr>
        <w:ind w:left="6257" w:hanging="632"/>
      </w:pPr>
      <w:rPr>
        <w:rFonts w:hint="default"/>
      </w:rPr>
    </w:lvl>
    <w:lvl w:ilvl="8" w:tentative="0">
      <w:start w:val="0"/>
      <w:numFmt w:val="bullet"/>
      <w:lvlText w:val="•"/>
      <w:lvlJc w:val="left"/>
      <w:pPr>
        <w:ind w:left="7086" w:hanging="632"/>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true"/>
  <w:bordersDoNotSurroundHeader w:val="true"/>
  <w:bordersDoNotSurroundFooter w:val="true"/>
  <w:hideSpellingErrors/>
  <w:documentProtection w:enforcement="0"/>
  <w:defaultTabStop w:val="720"/>
  <w:drawingGridHorizontalSpacing w:val="110"/>
  <w:displayHorizontalDrawingGridEvery w:val="2"/>
  <w:noPunctuationKerning w:val="true"/>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rsids>
    <w:rsidRoot w:val="0085401C"/>
    <w:rsid w:val="00025F58"/>
    <w:rsid w:val="00041064"/>
    <w:rsid w:val="00045DC8"/>
    <w:rsid w:val="00057CEF"/>
    <w:rsid w:val="00064BD6"/>
    <w:rsid w:val="00065994"/>
    <w:rsid w:val="00066FC0"/>
    <w:rsid w:val="00071898"/>
    <w:rsid w:val="00075B31"/>
    <w:rsid w:val="00077998"/>
    <w:rsid w:val="0008028A"/>
    <w:rsid w:val="00090675"/>
    <w:rsid w:val="00092BAA"/>
    <w:rsid w:val="0009523E"/>
    <w:rsid w:val="000B1AFE"/>
    <w:rsid w:val="000C02F7"/>
    <w:rsid w:val="000C19D9"/>
    <w:rsid w:val="000C4442"/>
    <w:rsid w:val="000D10E0"/>
    <w:rsid w:val="000E4087"/>
    <w:rsid w:val="001003C0"/>
    <w:rsid w:val="00101914"/>
    <w:rsid w:val="00107959"/>
    <w:rsid w:val="00111226"/>
    <w:rsid w:val="0013312C"/>
    <w:rsid w:val="001359C0"/>
    <w:rsid w:val="001509B7"/>
    <w:rsid w:val="0015101C"/>
    <w:rsid w:val="001527EB"/>
    <w:rsid w:val="001744CE"/>
    <w:rsid w:val="0017701B"/>
    <w:rsid w:val="00196C3A"/>
    <w:rsid w:val="001C06C6"/>
    <w:rsid w:val="001C2DC3"/>
    <w:rsid w:val="001D3A22"/>
    <w:rsid w:val="001F5972"/>
    <w:rsid w:val="001F7D70"/>
    <w:rsid w:val="00203B91"/>
    <w:rsid w:val="002076E0"/>
    <w:rsid w:val="00215460"/>
    <w:rsid w:val="00234B62"/>
    <w:rsid w:val="00235899"/>
    <w:rsid w:val="00263C8B"/>
    <w:rsid w:val="00266961"/>
    <w:rsid w:val="0027075E"/>
    <w:rsid w:val="00273BB7"/>
    <w:rsid w:val="002772B0"/>
    <w:rsid w:val="0028271F"/>
    <w:rsid w:val="00282AE1"/>
    <w:rsid w:val="00283884"/>
    <w:rsid w:val="002A709A"/>
    <w:rsid w:val="002E3A28"/>
    <w:rsid w:val="002E7CBF"/>
    <w:rsid w:val="00313EBE"/>
    <w:rsid w:val="00321E7D"/>
    <w:rsid w:val="00322957"/>
    <w:rsid w:val="00327D5F"/>
    <w:rsid w:val="003310ED"/>
    <w:rsid w:val="003658B8"/>
    <w:rsid w:val="00376A56"/>
    <w:rsid w:val="003856B4"/>
    <w:rsid w:val="003861D6"/>
    <w:rsid w:val="003B781A"/>
    <w:rsid w:val="003C5844"/>
    <w:rsid w:val="003C69FD"/>
    <w:rsid w:val="003C7351"/>
    <w:rsid w:val="003D6F10"/>
    <w:rsid w:val="003E2385"/>
    <w:rsid w:val="003F13B9"/>
    <w:rsid w:val="003F2379"/>
    <w:rsid w:val="0041028B"/>
    <w:rsid w:val="00412523"/>
    <w:rsid w:val="004161CC"/>
    <w:rsid w:val="004239BE"/>
    <w:rsid w:val="004316A5"/>
    <w:rsid w:val="00437F2E"/>
    <w:rsid w:val="004514DE"/>
    <w:rsid w:val="00451FDE"/>
    <w:rsid w:val="00455C08"/>
    <w:rsid w:val="00455E44"/>
    <w:rsid w:val="00484D60"/>
    <w:rsid w:val="00490B91"/>
    <w:rsid w:val="00493C61"/>
    <w:rsid w:val="00494891"/>
    <w:rsid w:val="004A00A2"/>
    <w:rsid w:val="004D1E43"/>
    <w:rsid w:val="004D4252"/>
    <w:rsid w:val="004E2994"/>
    <w:rsid w:val="004E43DD"/>
    <w:rsid w:val="00513499"/>
    <w:rsid w:val="00515B43"/>
    <w:rsid w:val="00516DD1"/>
    <w:rsid w:val="005247D8"/>
    <w:rsid w:val="00530147"/>
    <w:rsid w:val="005321CE"/>
    <w:rsid w:val="005335F1"/>
    <w:rsid w:val="00543696"/>
    <w:rsid w:val="005516C7"/>
    <w:rsid w:val="005613FB"/>
    <w:rsid w:val="00565FEB"/>
    <w:rsid w:val="005846CF"/>
    <w:rsid w:val="00586CDE"/>
    <w:rsid w:val="005870C2"/>
    <w:rsid w:val="00590037"/>
    <w:rsid w:val="005A05AA"/>
    <w:rsid w:val="005B1196"/>
    <w:rsid w:val="005C3342"/>
    <w:rsid w:val="005C38DD"/>
    <w:rsid w:val="005C4987"/>
    <w:rsid w:val="005D0072"/>
    <w:rsid w:val="005D11DB"/>
    <w:rsid w:val="005D37B3"/>
    <w:rsid w:val="005D6C0E"/>
    <w:rsid w:val="005E10C7"/>
    <w:rsid w:val="00616E90"/>
    <w:rsid w:val="006371B4"/>
    <w:rsid w:val="006374AD"/>
    <w:rsid w:val="0064601D"/>
    <w:rsid w:val="00646D22"/>
    <w:rsid w:val="00656F74"/>
    <w:rsid w:val="006634F1"/>
    <w:rsid w:val="00671E0D"/>
    <w:rsid w:val="006738DB"/>
    <w:rsid w:val="00673925"/>
    <w:rsid w:val="00676A67"/>
    <w:rsid w:val="0068620F"/>
    <w:rsid w:val="00692C80"/>
    <w:rsid w:val="0069666A"/>
    <w:rsid w:val="006A5231"/>
    <w:rsid w:val="006B61A0"/>
    <w:rsid w:val="006E31E4"/>
    <w:rsid w:val="00703D4E"/>
    <w:rsid w:val="00704150"/>
    <w:rsid w:val="00711D36"/>
    <w:rsid w:val="0071571B"/>
    <w:rsid w:val="00734FBA"/>
    <w:rsid w:val="0075680A"/>
    <w:rsid w:val="00756BF6"/>
    <w:rsid w:val="0076252A"/>
    <w:rsid w:val="00762FD4"/>
    <w:rsid w:val="0076607D"/>
    <w:rsid w:val="00773F2E"/>
    <w:rsid w:val="00785B00"/>
    <w:rsid w:val="0078649A"/>
    <w:rsid w:val="007875B7"/>
    <w:rsid w:val="007A2C9D"/>
    <w:rsid w:val="007A3C2F"/>
    <w:rsid w:val="007A7F84"/>
    <w:rsid w:val="007B1F2C"/>
    <w:rsid w:val="007B790E"/>
    <w:rsid w:val="007D2F20"/>
    <w:rsid w:val="007E3BC0"/>
    <w:rsid w:val="007E58B6"/>
    <w:rsid w:val="007F0BEA"/>
    <w:rsid w:val="008056D4"/>
    <w:rsid w:val="008165EA"/>
    <w:rsid w:val="00816E67"/>
    <w:rsid w:val="00833261"/>
    <w:rsid w:val="0084090A"/>
    <w:rsid w:val="00840CFE"/>
    <w:rsid w:val="008464D3"/>
    <w:rsid w:val="00847F85"/>
    <w:rsid w:val="0085401C"/>
    <w:rsid w:val="0086513C"/>
    <w:rsid w:val="00881419"/>
    <w:rsid w:val="00890AA7"/>
    <w:rsid w:val="008A1261"/>
    <w:rsid w:val="008C38C2"/>
    <w:rsid w:val="008D74D8"/>
    <w:rsid w:val="008E119A"/>
    <w:rsid w:val="008F1E62"/>
    <w:rsid w:val="008F6375"/>
    <w:rsid w:val="00903E50"/>
    <w:rsid w:val="009129B2"/>
    <w:rsid w:val="00924114"/>
    <w:rsid w:val="009451FE"/>
    <w:rsid w:val="0094520C"/>
    <w:rsid w:val="009506B0"/>
    <w:rsid w:val="00954701"/>
    <w:rsid w:val="00964714"/>
    <w:rsid w:val="00975434"/>
    <w:rsid w:val="0098338E"/>
    <w:rsid w:val="00991047"/>
    <w:rsid w:val="009968E6"/>
    <w:rsid w:val="009B02C1"/>
    <w:rsid w:val="009D4A3C"/>
    <w:rsid w:val="009D5B49"/>
    <w:rsid w:val="009E5514"/>
    <w:rsid w:val="009F3263"/>
    <w:rsid w:val="009F5A53"/>
    <w:rsid w:val="00A07EDE"/>
    <w:rsid w:val="00A16043"/>
    <w:rsid w:val="00A22616"/>
    <w:rsid w:val="00A27B33"/>
    <w:rsid w:val="00A341C0"/>
    <w:rsid w:val="00A35276"/>
    <w:rsid w:val="00A368F8"/>
    <w:rsid w:val="00A425DB"/>
    <w:rsid w:val="00A43772"/>
    <w:rsid w:val="00A521E7"/>
    <w:rsid w:val="00A70EB8"/>
    <w:rsid w:val="00A71F54"/>
    <w:rsid w:val="00A81846"/>
    <w:rsid w:val="00A83751"/>
    <w:rsid w:val="00A900DB"/>
    <w:rsid w:val="00A94F4A"/>
    <w:rsid w:val="00AA7039"/>
    <w:rsid w:val="00AD480D"/>
    <w:rsid w:val="00AF6983"/>
    <w:rsid w:val="00B034C9"/>
    <w:rsid w:val="00B16965"/>
    <w:rsid w:val="00B27860"/>
    <w:rsid w:val="00B620EF"/>
    <w:rsid w:val="00B80393"/>
    <w:rsid w:val="00B82512"/>
    <w:rsid w:val="00B872DA"/>
    <w:rsid w:val="00B946B6"/>
    <w:rsid w:val="00BA2209"/>
    <w:rsid w:val="00BC3C41"/>
    <w:rsid w:val="00BC7DF8"/>
    <w:rsid w:val="00BD2969"/>
    <w:rsid w:val="00BE0320"/>
    <w:rsid w:val="00BE1002"/>
    <w:rsid w:val="00BE25D3"/>
    <w:rsid w:val="00BE4A7A"/>
    <w:rsid w:val="00C10D42"/>
    <w:rsid w:val="00C17D94"/>
    <w:rsid w:val="00C26219"/>
    <w:rsid w:val="00C41F3C"/>
    <w:rsid w:val="00C83E37"/>
    <w:rsid w:val="00C84CB3"/>
    <w:rsid w:val="00C96FDB"/>
    <w:rsid w:val="00CB4CD4"/>
    <w:rsid w:val="00CC181F"/>
    <w:rsid w:val="00CC6991"/>
    <w:rsid w:val="00D02DB2"/>
    <w:rsid w:val="00D0533F"/>
    <w:rsid w:val="00D17EE8"/>
    <w:rsid w:val="00D2031E"/>
    <w:rsid w:val="00D2134B"/>
    <w:rsid w:val="00D27000"/>
    <w:rsid w:val="00D61713"/>
    <w:rsid w:val="00D655EB"/>
    <w:rsid w:val="00D7293C"/>
    <w:rsid w:val="00D84727"/>
    <w:rsid w:val="00D87C37"/>
    <w:rsid w:val="00D91F6C"/>
    <w:rsid w:val="00D97711"/>
    <w:rsid w:val="00DA0941"/>
    <w:rsid w:val="00DA395D"/>
    <w:rsid w:val="00DA3E0D"/>
    <w:rsid w:val="00DA3E30"/>
    <w:rsid w:val="00DA4AA5"/>
    <w:rsid w:val="00DB6F40"/>
    <w:rsid w:val="00DC6076"/>
    <w:rsid w:val="00DC6509"/>
    <w:rsid w:val="00DE5075"/>
    <w:rsid w:val="00DF1032"/>
    <w:rsid w:val="00DF3407"/>
    <w:rsid w:val="00E00A9A"/>
    <w:rsid w:val="00E14CD8"/>
    <w:rsid w:val="00E15373"/>
    <w:rsid w:val="00E22FE2"/>
    <w:rsid w:val="00E26DE5"/>
    <w:rsid w:val="00E43427"/>
    <w:rsid w:val="00E6597B"/>
    <w:rsid w:val="00E77B4F"/>
    <w:rsid w:val="00E869CF"/>
    <w:rsid w:val="00E92D48"/>
    <w:rsid w:val="00E95BA5"/>
    <w:rsid w:val="00EA0013"/>
    <w:rsid w:val="00EA022A"/>
    <w:rsid w:val="00EA637E"/>
    <w:rsid w:val="00EB7A43"/>
    <w:rsid w:val="00EC2117"/>
    <w:rsid w:val="00ED65D5"/>
    <w:rsid w:val="00EF2C79"/>
    <w:rsid w:val="00EF6037"/>
    <w:rsid w:val="00F0345B"/>
    <w:rsid w:val="00F0381A"/>
    <w:rsid w:val="00F078B9"/>
    <w:rsid w:val="00F136F6"/>
    <w:rsid w:val="00F163B1"/>
    <w:rsid w:val="00F163C7"/>
    <w:rsid w:val="00F2267D"/>
    <w:rsid w:val="00F2739E"/>
    <w:rsid w:val="00F4082E"/>
    <w:rsid w:val="00F42B21"/>
    <w:rsid w:val="00F63567"/>
    <w:rsid w:val="00F717DD"/>
    <w:rsid w:val="00F745A6"/>
    <w:rsid w:val="00F8173C"/>
    <w:rsid w:val="00F832B9"/>
    <w:rsid w:val="00FA2028"/>
    <w:rsid w:val="00FB0D6C"/>
    <w:rsid w:val="00FB36C0"/>
    <w:rsid w:val="00FC77B4"/>
    <w:rsid w:val="00FF0D6E"/>
    <w:rsid w:val="00FF1E7A"/>
    <w:rsid w:val="01170A34"/>
    <w:rsid w:val="01320B47"/>
    <w:rsid w:val="017A3A5B"/>
    <w:rsid w:val="02A80A7D"/>
    <w:rsid w:val="02E874C4"/>
    <w:rsid w:val="03056B3F"/>
    <w:rsid w:val="0324584E"/>
    <w:rsid w:val="03491FFF"/>
    <w:rsid w:val="040B463F"/>
    <w:rsid w:val="04C06FC7"/>
    <w:rsid w:val="059E4F85"/>
    <w:rsid w:val="05E12E27"/>
    <w:rsid w:val="05EC7EE9"/>
    <w:rsid w:val="067F6C28"/>
    <w:rsid w:val="07121DF4"/>
    <w:rsid w:val="073E7384"/>
    <w:rsid w:val="074D3E3A"/>
    <w:rsid w:val="07575575"/>
    <w:rsid w:val="07FB698F"/>
    <w:rsid w:val="082D3FDF"/>
    <w:rsid w:val="08BC0619"/>
    <w:rsid w:val="08C911E5"/>
    <w:rsid w:val="09196009"/>
    <w:rsid w:val="092357CB"/>
    <w:rsid w:val="09A10B90"/>
    <w:rsid w:val="0A075127"/>
    <w:rsid w:val="0ACA0B19"/>
    <w:rsid w:val="0ADC0217"/>
    <w:rsid w:val="0B2545D0"/>
    <w:rsid w:val="0B53579A"/>
    <w:rsid w:val="0BD17979"/>
    <w:rsid w:val="0C152526"/>
    <w:rsid w:val="0C92642A"/>
    <w:rsid w:val="0CE565DB"/>
    <w:rsid w:val="0D3255AF"/>
    <w:rsid w:val="0D3C237E"/>
    <w:rsid w:val="0DF65CFE"/>
    <w:rsid w:val="0E06166C"/>
    <w:rsid w:val="0E087BB2"/>
    <w:rsid w:val="0EF610E4"/>
    <w:rsid w:val="0EFF35E2"/>
    <w:rsid w:val="0FC525B5"/>
    <w:rsid w:val="0FDC0AA9"/>
    <w:rsid w:val="0FFE677B"/>
    <w:rsid w:val="104F7E88"/>
    <w:rsid w:val="10CC4D93"/>
    <w:rsid w:val="10F10374"/>
    <w:rsid w:val="11250954"/>
    <w:rsid w:val="118342BA"/>
    <w:rsid w:val="11BD0AEB"/>
    <w:rsid w:val="120831E0"/>
    <w:rsid w:val="121B54CF"/>
    <w:rsid w:val="12934763"/>
    <w:rsid w:val="12945F75"/>
    <w:rsid w:val="12B17AEF"/>
    <w:rsid w:val="12CD0E12"/>
    <w:rsid w:val="13306141"/>
    <w:rsid w:val="133105FB"/>
    <w:rsid w:val="148E363B"/>
    <w:rsid w:val="152F25AD"/>
    <w:rsid w:val="15735D60"/>
    <w:rsid w:val="15944193"/>
    <w:rsid w:val="15993354"/>
    <w:rsid w:val="162A0953"/>
    <w:rsid w:val="165A5769"/>
    <w:rsid w:val="170030C6"/>
    <w:rsid w:val="17567BBF"/>
    <w:rsid w:val="1784539A"/>
    <w:rsid w:val="178624E9"/>
    <w:rsid w:val="18214F71"/>
    <w:rsid w:val="187A127B"/>
    <w:rsid w:val="18B5477E"/>
    <w:rsid w:val="190A4270"/>
    <w:rsid w:val="195704A7"/>
    <w:rsid w:val="19911D7E"/>
    <w:rsid w:val="199D486B"/>
    <w:rsid w:val="19BE76BD"/>
    <w:rsid w:val="1A361A1D"/>
    <w:rsid w:val="1A6B1C4A"/>
    <w:rsid w:val="1B2E2F70"/>
    <w:rsid w:val="1BF25886"/>
    <w:rsid w:val="1BF55864"/>
    <w:rsid w:val="1C65527E"/>
    <w:rsid w:val="1C954713"/>
    <w:rsid w:val="1D792B94"/>
    <w:rsid w:val="1D905556"/>
    <w:rsid w:val="1DF47EAB"/>
    <w:rsid w:val="1EF31DBB"/>
    <w:rsid w:val="1EF44377"/>
    <w:rsid w:val="1F960962"/>
    <w:rsid w:val="200C51B5"/>
    <w:rsid w:val="202740FB"/>
    <w:rsid w:val="2051293B"/>
    <w:rsid w:val="208C2D8E"/>
    <w:rsid w:val="208F5421"/>
    <w:rsid w:val="20A840E4"/>
    <w:rsid w:val="218E4B86"/>
    <w:rsid w:val="21A050E8"/>
    <w:rsid w:val="21D312E7"/>
    <w:rsid w:val="223D76DD"/>
    <w:rsid w:val="228E5813"/>
    <w:rsid w:val="22C0561E"/>
    <w:rsid w:val="22E37A4B"/>
    <w:rsid w:val="230005AD"/>
    <w:rsid w:val="2322600E"/>
    <w:rsid w:val="232B0F53"/>
    <w:rsid w:val="23F3438C"/>
    <w:rsid w:val="24547C34"/>
    <w:rsid w:val="249D0510"/>
    <w:rsid w:val="24F37891"/>
    <w:rsid w:val="26734F69"/>
    <w:rsid w:val="278F6C21"/>
    <w:rsid w:val="27B25964"/>
    <w:rsid w:val="27BE0A82"/>
    <w:rsid w:val="28E23D2A"/>
    <w:rsid w:val="291246DE"/>
    <w:rsid w:val="29197BE2"/>
    <w:rsid w:val="293109C0"/>
    <w:rsid w:val="295C6BB3"/>
    <w:rsid w:val="29844DD0"/>
    <w:rsid w:val="29D11ED1"/>
    <w:rsid w:val="29FF2FB0"/>
    <w:rsid w:val="2A0840F6"/>
    <w:rsid w:val="2A425BD9"/>
    <w:rsid w:val="2A8403B4"/>
    <w:rsid w:val="2AD27929"/>
    <w:rsid w:val="2B270D38"/>
    <w:rsid w:val="2B3B4688"/>
    <w:rsid w:val="2B540815"/>
    <w:rsid w:val="2B7B763F"/>
    <w:rsid w:val="2B9F4DB2"/>
    <w:rsid w:val="2BA55AAA"/>
    <w:rsid w:val="2BB44D15"/>
    <w:rsid w:val="2C0C7D30"/>
    <w:rsid w:val="2C2E4E73"/>
    <w:rsid w:val="2C3A1B29"/>
    <w:rsid w:val="2C7428EE"/>
    <w:rsid w:val="2D3A2D69"/>
    <w:rsid w:val="2DF9019F"/>
    <w:rsid w:val="2E2C2CF0"/>
    <w:rsid w:val="2E5C5C04"/>
    <w:rsid w:val="2E9F4445"/>
    <w:rsid w:val="2EA27639"/>
    <w:rsid w:val="2EB51F39"/>
    <w:rsid w:val="2EC05831"/>
    <w:rsid w:val="2F543301"/>
    <w:rsid w:val="2F606C69"/>
    <w:rsid w:val="30293F36"/>
    <w:rsid w:val="30521036"/>
    <w:rsid w:val="305C36D4"/>
    <w:rsid w:val="30837299"/>
    <w:rsid w:val="30C33613"/>
    <w:rsid w:val="30D60725"/>
    <w:rsid w:val="31083A9D"/>
    <w:rsid w:val="312E31F4"/>
    <w:rsid w:val="31DB5F86"/>
    <w:rsid w:val="32155E0B"/>
    <w:rsid w:val="327671ED"/>
    <w:rsid w:val="330E5620"/>
    <w:rsid w:val="33665E50"/>
    <w:rsid w:val="338625EA"/>
    <w:rsid w:val="33C744F2"/>
    <w:rsid w:val="33FA48CA"/>
    <w:rsid w:val="34280D85"/>
    <w:rsid w:val="34310AF6"/>
    <w:rsid w:val="353A6DF6"/>
    <w:rsid w:val="357F778D"/>
    <w:rsid w:val="35EE750E"/>
    <w:rsid w:val="3629622E"/>
    <w:rsid w:val="3641206B"/>
    <w:rsid w:val="367F42D0"/>
    <w:rsid w:val="368D130A"/>
    <w:rsid w:val="36AA1645"/>
    <w:rsid w:val="36D15ED2"/>
    <w:rsid w:val="36E71800"/>
    <w:rsid w:val="36FE7AD1"/>
    <w:rsid w:val="375842C1"/>
    <w:rsid w:val="375F7C26"/>
    <w:rsid w:val="3910477C"/>
    <w:rsid w:val="39245284"/>
    <w:rsid w:val="394048E6"/>
    <w:rsid w:val="395935D4"/>
    <w:rsid w:val="3AF71B80"/>
    <w:rsid w:val="3B253E0B"/>
    <w:rsid w:val="3B473072"/>
    <w:rsid w:val="3BAB45B5"/>
    <w:rsid w:val="3BAB7E53"/>
    <w:rsid w:val="3BB061D8"/>
    <w:rsid w:val="3BF52FF9"/>
    <w:rsid w:val="3C092F5E"/>
    <w:rsid w:val="3CE3275F"/>
    <w:rsid w:val="3D73372C"/>
    <w:rsid w:val="3D76239F"/>
    <w:rsid w:val="3DD76014"/>
    <w:rsid w:val="3F0D1EED"/>
    <w:rsid w:val="3F1C0AA6"/>
    <w:rsid w:val="3F280C18"/>
    <w:rsid w:val="40081940"/>
    <w:rsid w:val="4017684A"/>
    <w:rsid w:val="40640A5A"/>
    <w:rsid w:val="40861914"/>
    <w:rsid w:val="408C6727"/>
    <w:rsid w:val="40C07A7D"/>
    <w:rsid w:val="421A400C"/>
    <w:rsid w:val="425E5F89"/>
    <w:rsid w:val="429A3D61"/>
    <w:rsid w:val="42BD4210"/>
    <w:rsid w:val="42C50293"/>
    <w:rsid w:val="434E2E11"/>
    <w:rsid w:val="43C403DE"/>
    <w:rsid w:val="43EF1CEA"/>
    <w:rsid w:val="442F6501"/>
    <w:rsid w:val="443922F7"/>
    <w:rsid w:val="445131D4"/>
    <w:rsid w:val="44D411AE"/>
    <w:rsid w:val="45F547CB"/>
    <w:rsid w:val="468103C3"/>
    <w:rsid w:val="469D1859"/>
    <w:rsid w:val="46B66008"/>
    <w:rsid w:val="46EB4E49"/>
    <w:rsid w:val="46ED6BFB"/>
    <w:rsid w:val="471A2F01"/>
    <w:rsid w:val="471C0591"/>
    <w:rsid w:val="47206977"/>
    <w:rsid w:val="47314155"/>
    <w:rsid w:val="4736618C"/>
    <w:rsid w:val="474E229C"/>
    <w:rsid w:val="47A81B49"/>
    <w:rsid w:val="47B13B99"/>
    <w:rsid w:val="47EA101A"/>
    <w:rsid w:val="4808254E"/>
    <w:rsid w:val="481B1879"/>
    <w:rsid w:val="48455B9B"/>
    <w:rsid w:val="487433EA"/>
    <w:rsid w:val="48D135DD"/>
    <w:rsid w:val="495C543C"/>
    <w:rsid w:val="497C696E"/>
    <w:rsid w:val="498959D2"/>
    <w:rsid w:val="499D70BA"/>
    <w:rsid w:val="4A1118B6"/>
    <w:rsid w:val="4A2A13A4"/>
    <w:rsid w:val="4A7E6C7F"/>
    <w:rsid w:val="4B1419BC"/>
    <w:rsid w:val="4B544D9C"/>
    <w:rsid w:val="4B66683E"/>
    <w:rsid w:val="4B6A0E58"/>
    <w:rsid w:val="4B8D545D"/>
    <w:rsid w:val="4BF25E6B"/>
    <w:rsid w:val="4C00201E"/>
    <w:rsid w:val="4C17306F"/>
    <w:rsid w:val="4CB87EA5"/>
    <w:rsid w:val="4CBB3876"/>
    <w:rsid w:val="4D021331"/>
    <w:rsid w:val="4D8F3418"/>
    <w:rsid w:val="4E922EA3"/>
    <w:rsid w:val="4ECF2DF3"/>
    <w:rsid w:val="4EF437DF"/>
    <w:rsid w:val="4EFE1650"/>
    <w:rsid w:val="4F0D72D5"/>
    <w:rsid w:val="5043359D"/>
    <w:rsid w:val="506C2CC8"/>
    <w:rsid w:val="50B703F6"/>
    <w:rsid w:val="51D57D9C"/>
    <w:rsid w:val="51EC30B5"/>
    <w:rsid w:val="52107571"/>
    <w:rsid w:val="5213318D"/>
    <w:rsid w:val="52787C8B"/>
    <w:rsid w:val="52B90B3E"/>
    <w:rsid w:val="52D05FD5"/>
    <w:rsid w:val="5328492F"/>
    <w:rsid w:val="539A13FB"/>
    <w:rsid w:val="53BB406A"/>
    <w:rsid w:val="53C254F1"/>
    <w:rsid w:val="53F52DC6"/>
    <w:rsid w:val="54496411"/>
    <w:rsid w:val="5510408E"/>
    <w:rsid w:val="553E5B51"/>
    <w:rsid w:val="5548431B"/>
    <w:rsid w:val="55A66E12"/>
    <w:rsid w:val="56C377BF"/>
    <w:rsid w:val="56EE4D64"/>
    <w:rsid w:val="57071870"/>
    <w:rsid w:val="572C4BA7"/>
    <w:rsid w:val="57972890"/>
    <w:rsid w:val="58086BAF"/>
    <w:rsid w:val="58ED624B"/>
    <w:rsid w:val="597C3B68"/>
    <w:rsid w:val="5A1F4481"/>
    <w:rsid w:val="5A294037"/>
    <w:rsid w:val="5A860B12"/>
    <w:rsid w:val="5AB461A0"/>
    <w:rsid w:val="5B064A6D"/>
    <w:rsid w:val="5BA96C42"/>
    <w:rsid w:val="5BB50074"/>
    <w:rsid w:val="5C1136AC"/>
    <w:rsid w:val="5C966B27"/>
    <w:rsid w:val="5C9B636B"/>
    <w:rsid w:val="5CE30EBC"/>
    <w:rsid w:val="5CE940CA"/>
    <w:rsid w:val="5D423139"/>
    <w:rsid w:val="5D725753"/>
    <w:rsid w:val="5D740D6C"/>
    <w:rsid w:val="5E644AAD"/>
    <w:rsid w:val="5E87359F"/>
    <w:rsid w:val="5EC83E30"/>
    <w:rsid w:val="5F0C3840"/>
    <w:rsid w:val="5F345A3C"/>
    <w:rsid w:val="5F3E740B"/>
    <w:rsid w:val="5F790781"/>
    <w:rsid w:val="5FA9685C"/>
    <w:rsid w:val="605373F4"/>
    <w:rsid w:val="608643E9"/>
    <w:rsid w:val="60A92C5C"/>
    <w:rsid w:val="60C42597"/>
    <w:rsid w:val="60D74411"/>
    <w:rsid w:val="613B48A6"/>
    <w:rsid w:val="618024EE"/>
    <w:rsid w:val="61806B6B"/>
    <w:rsid w:val="61CE45B3"/>
    <w:rsid w:val="625C211A"/>
    <w:rsid w:val="62710DB6"/>
    <w:rsid w:val="62861ECC"/>
    <w:rsid w:val="62DA44CF"/>
    <w:rsid w:val="63BE3B98"/>
    <w:rsid w:val="63BF3549"/>
    <w:rsid w:val="63CC2D88"/>
    <w:rsid w:val="64236675"/>
    <w:rsid w:val="648C192B"/>
    <w:rsid w:val="65076B03"/>
    <w:rsid w:val="651272D0"/>
    <w:rsid w:val="653A2E67"/>
    <w:rsid w:val="65886C6C"/>
    <w:rsid w:val="66324BDE"/>
    <w:rsid w:val="66422545"/>
    <w:rsid w:val="669E1AD1"/>
    <w:rsid w:val="66A54A1D"/>
    <w:rsid w:val="66B27FF8"/>
    <w:rsid w:val="67217530"/>
    <w:rsid w:val="6764762E"/>
    <w:rsid w:val="676B1382"/>
    <w:rsid w:val="679B00E2"/>
    <w:rsid w:val="6804366F"/>
    <w:rsid w:val="681A5EB1"/>
    <w:rsid w:val="68C46D61"/>
    <w:rsid w:val="691D37ED"/>
    <w:rsid w:val="694350D6"/>
    <w:rsid w:val="696C6977"/>
    <w:rsid w:val="69D63B86"/>
    <w:rsid w:val="6A8701BB"/>
    <w:rsid w:val="6B16377B"/>
    <w:rsid w:val="6B8B3795"/>
    <w:rsid w:val="6BBB691E"/>
    <w:rsid w:val="6C01418F"/>
    <w:rsid w:val="6C1E5317"/>
    <w:rsid w:val="6C313880"/>
    <w:rsid w:val="6C750F13"/>
    <w:rsid w:val="6CCC2B97"/>
    <w:rsid w:val="6D185886"/>
    <w:rsid w:val="6D1D4D11"/>
    <w:rsid w:val="6D6D4B3E"/>
    <w:rsid w:val="6DAE0FDA"/>
    <w:rsid w:val="6DC97CE5"/>
    <w:rsid w:val="6E05425B"/>
    <w:rsid w:val="6E6911B5"/>
    <w:rsid w:val="6F05537C"/>
    <w:rsid w:val="6F865A6D"/>
    <w:rsid w:val="6FA66B86"/>
    <w:rsid w:val="6FC53AD4"/>
    <w:rsid w:val="6FC9387A"/>
    <w:rsid w:val="6FD95508"/>
    <w:rsid w:val="6FE97FA3"/>
    <w:rsid w:val="709D179B"/>
    <w:rsid w:val="71201D3A"/>
    <w:rsid w:val="712128AA"/>
    <w:rsid w:val="716A1AC7"/>
    <w:rsid w:val="717A4EF6"/>
    <w:rsid w:val="71A80D2A"/>
    <w:rsid w:val="71A93A1E"/>
    <w:rsid w:val="72E73E78"/>
    <w:rsid w:val="72F05A2D"/>
    <w:rsid w:val="72FD3208"/>
    <w:rsid w:val="73164D33"/>
    <w:rsid w:val="736823A8"/>
    <w:rsid w:val="738045FD"/>
    <w:rsid w:val="73894950"/>
    <w:rsid w:val="73FA3B78"/>
    <w:rsid w:val="740C6E27"/>
    <w:rsid w:val="74295225"/>
    <w:rsid w:val="74347950"/>
    <w:rsid w:val="74493452"/>
    <w:rsid w:val="74E50323"/>
    <w:rsid w:val="75340378"/>
    <w:rsid w:val="75403A22"/>
    <w:rsid w:val="75831AB8"/>
    <w:rsid w:val="763D639F"/>
    <w:rsid w:val="76E86016"/>
    <w:rsid w:val="77AA08F6"/>
    <w:rsid w:val="782344DA"/>
    <w:rsid w:val="782D2416"/>
    <w:rsid w:val="783C5166"/>
    <w:rsid w:val="785A7D56"/>
    <w:rsid w:val="78B17A86"/>
    <w:rsid w:val="79637A7A"/>
    <w:rsid w:val="7A280D70"/>
    <w:rsid w:val="7A363B9C"/>
    <w:rsid w:val="7A530BC1"/>
    <w:rsid w:val="7A7F7CD6"/>
    <w:rsid w:val="7AA24CD3"/>
    <w:rsid w:val="7AC149C6"/>
    <w:rsid w:val="7AE64777"/>
    <w:rsid w:val="7BB02504"/>
    <w:rsid w:val="7BC73E70"/>
    <w:rsid w:val="7C0D3967"/>
    <w:rsid w:val="7C461817"/>
    <w:rsid w:val="7C974821"/>
    <w:rsid w:val="7CF35A0B"/>
    <w:rsid w:val="7D2D431B"/>
    <w:rsid w:val="7D6A15DF"/>
    <w:rsid w:val="7DE1457E"/>
    <w:rsid w:val="7DE37FDA"/>
    <w:rsid w:val="7DF92CBC"/>
    <w:rsid w:val="7DFE357F"/>
    <w:rsid w:val="7E146909"/>
    <w:rsid w:val="7E4B42F9"/>
    <w:rsid w:val="7E7A5F2F"/>
    <w:rsid w:val="7E95022B"/>
    <w:rsid w:val="7EAE4A2F"/>
    <w:rsid w:val="7EC1364B"/>
    <w:rsid w:val="7F05144A"/>
    <w:rsid w:val="7F100B9B"/>
    <w:rsid w:val="7FCD64DD"/>
    <w:rsid w:val="7FD20048"/>
    <w:rsid w:val="7FDF7B5E"/>
    <w:rsid w:val="B5FD82D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0"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1"/>
    <w:basedOn w:val="1"/>
    <w:next w:val="1"/>
    <w:qFormat/>
    <w:uiPriority w:val="1"/>
    <w:pPr>
      <w:spacing w:line="998" w:lineRule="exact"/>
      <w:ind w:left="89"/>
      <w:outlineLvl w:val="0"/>
    </w:pPr>
    <w:rPr>
      <w:rFonts w:ascii="Microsoft JhengHei" w:hAnsi="Microsoft JhengHei" w:eastAsia="Microsoft JhengHei" w:cs="Microsoft JhengHei"/>
      <w:b/>
      <w:bCs/>
      <w:sz w:val="84"/>
      <w:szCs w:val="84"/>
    </w:rPr>
  </w:style>
  <w:style w:type="paragraph" w:styleId="3">
    <w:name w:val="heading 2"/>
    <w:basedOn w:val="1"/>
    <w:next w:val="1"/>
    <w:link w:val="34"/>
    <w:qFormat/>
    <w:uiPriority w:val="0"/>
    <w:pPr>
      <w:spacing w:line="949" w:lineRule="exact"/>
      <w:ind w:left="289"/>
      <w:outlineLvl w:val="1"/>
    </w:pPr>
    <w:rPr>
      <w:sz w:val="82"/>
      <w:szCs w:val="82"/>
    </w:rPr>
  </w:style>
  <w:style w:type="paragraph" w:styleId="4">
    <w:name w:val="heading 3"/>
    <w:basedOn w:val="1"/>
    <w:next w:val="1"/>
    <w:link w:val="32"/>
    <w:qFormat/>
    <w:uiPriority w:val="1"/>
    <w:pPr>
      <w:outlineLvl w:val="2"/>
    </w:pPr>
    <w:rPr>
      <w:b/>
      <w:bCs/>
      <w:sz w:val="32"/>
      <w:szCs w:val="32"/>
    </w:rPr>
  </w:style>
  <w:style w:type="paragraph" w:styleId="5">
    <w:name w:val="heading 4"/>
    <w:basedOn w:val="1"/>
    <w:next w:val="1"/>
    <w:link w:val="30"/>
    <w:qFormat/>
    <w:uiPriority w:val="1"/>
    <w:pPr>
      <w:spacing w:line="400" w:lineRule="exact"/>
      <w:ind w:left="120"/>
      <w:outlineLvl w:val="3"/>
    </w:pPr>
    <w:rPr>
      <w:rFonts w:ascii="黑体" w:hAnsi="黑体" w:eastAsia="黑体" w:cs="黑体"/>
      <w:sz w:val="32"/>
      <w:szCs w:val="32"/>
    </w:rPr>
  </w:style>
  <w:style w:type="paragraph" w:styleId="6">
    <w:name w:val="heading 5"/>
    <w:basedOn w:val="1"/>
    <w:next w:val="1"/>
    <w:qFormat/>
    <w:uiPriority w:val="1"/>
    <w:pPr>
      <w:spacing w:line="231" w:lineRule="exact"/>
      <w:ind w:left="876"/>
      <w:outlineLvl w:val="4"/>
    </w:pPr>
    <w:rPr>
      <w:sz w:val="23"/>
      <w:szCs w:val="23"/>
    </w:rPr>
  </w:style>
  <w:style w:type="paragraph" w:styleId="7">
    <w:name w:val="heading 6"/>
    <w:basedOn w:val="1"/>
    <w:next w:val="1"/>
    <w:qFormat/>
    <w:uiPriority w:val="1"/>
    <w:pPr>
      <w:spacing w:line="212" w:lineRule="exact"/>
      <w:ind w:left="875"/>
      <w:outlineLvl w:val="5"/>
    </w:pPr>
  </w:style>
  <w:style w:type="paragraph" w:styleId="8">
    <w:name w:val="heading 7"/>
    <w:basedOn w:val="1"/>
    <w:next w:val="1"/>
    <w:qFormat/>
    <w:uiPriority w:val="1"/>
    <w:pPr>
      <w:ind w:left="526"/>
      <w:outlineLvl w:val="6"/>
    </w:pPr>
    <w:rPr>
      <w:rFonts w:ascii="黑体" w:hAnsi="黑体" w:eastAsia="黑体" w:cs="黑体"/>
      <w:b/>
      <w:bCs/>
      <w:sz w:val="21"/>
      <w:szCs w:val="21"/>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9">
    <w:name w:val="Document Map"/>
    <w:basedOn w:val="1"/>
    <w:link w:val="26"/>
    <w:qFormat/>
    <w:uiPriority w:val="0"/>
    <w:rPr>
      <w:sz w:val="18"/>
      <w:szCs w:val="18"/>
    </w:rPr>
  </w:style>
  <w:style w:type="paragraph" w:styleId="10">
    <w:name w:val="Body Text"/>
    <w:basedOn w:val="1"/>
    <w:qFormat/>
    <w:uiPriority w:val="1"/>
    <w:rPr>
      <w:sz w:val="21"/>
      <w:szCs w:val="21"/>
    </w:rPr>
  </w:style>
  <w:style w:type="paragraph" w:styleId="11">
    <w:name w:val="Plain Text"/>
    <w:basedOn w:val="1"/>
    <w:link w:val="36"/>
    <w:qFormat/>
    <w:uiPriority w:val="0"/>
    <w:pPr>
      <w:autoSpaceDE/>
      <w:autoSpaceDN/>
      <w:jc w:val="both"/>
    </w:pPr>
    <w:rPr>
      <w:rFonts w:hAnsi="Courier New" w:cs="Times New Roman"/>
      <w:kern w:val="2"/>
      <w:sz w:val="21"/>
      <w:szCs w:val="21"/>
      <w:lang w:eastAsia="zh-CN"/>
    </w:rPr>
  </w:style>
  <w:style w:type="paragraph" w:styleId="12">
    <w:name w:val="Date"/>
    <w:basedOn w:val="1"/>
    <w:next w:val="1"/>
    <w:link w:val="33"/>
    <w:qFormat/>
    <w:uiPriority w:val="0"/>
    <w:pPr>
      <w:ind w:left="100" w:leftChars="2500"/>
    </w:pPr>
  </w:style>
  <w:style w:type="paragraph" w:styleId="13">
    <w:name w:val="Balloon Text"/>
    <w:basedOn w:val="1"/>
    <w:link w:val="25"/>
    <w:qFormat/>
    <w:uiPriority w:val="0"/>
    <w:rPr>
      <w:sz w:val="18"/>
      <w:szCs w:val="18"/>
    </w:rPr>
  </w:style>
  <w:style w:type="paragraph" w:styleId="14">
    <w:name w:val="footer"/>
    <w:basedOn w:val="1"/>
    <w:link w:val="28"/>
    <w:qFormat/>
    <w:uiPriority w:val="99"/>
    <w:pPr>
      <w:tabs>
        <w:tab w:val="center" w:pos="4153"/>
        <w:tab w:val="right" w:pos="8306"/>
      </w:tabs>
      <w:snapToGrid w:val="0"/>
    </w:pPr>
    <w:rPr>
      <w:sz w:val="18"/>
      <w:szCs w:val="18"/>
    </w:rPr>
  </w:style>
  <w:style w:type="paragraph" w:styleId="15">
    <w:name w:val="header"/>
    <w:basedOn w:val="1"/>
    <w:link w:val="27"/>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spacing w:before="193"/>
      <w:ind w:left="116"/>
    </w:pPr>
    <w:rPr>
      <w:sz w:val="21"/>
      <w:szCs w:val="21"/>
    </w:rPr>
  </w:style>
  <w:style w:type="paragraph" w:styleId="17">
    <w:name w:val="Normal (Web)"/>
    <w:basedOn w:val="1"/>
    <w:unhideWhenUsed/>
    <w:qFormat/>
    <w:uiPriority w:val="99"/>
    <w:pPr>
      <w:widowControl/>
      <w:autoSpaceDE/>
      <w:autoSpaceDN/>
      <w:spacing w:before="100" w:beforeAutospacing="1" w:after="100" w:afterAutospacing="1"/>
    </w:pPr>
    <w:rPr>
      <w:sz w:val="24"/>
      <w:szCs w:val="24"/>
      <w:lang w:eastAsia="zh-CN"/>
    </w:rPr>
  </w:style>
  <w:style w:type="table" w:styleId="19">
    <w:name w:val="Table Grid"/>
    <w:basedOn w:val="1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qFormat/>
    <w:uiPriority w:val="99"/>
    <w:rPr>
      <w:color w:val="0000FF" w:themeColor="hyperlink"/>
      <w:u w:val="single"/>
    </w:rPr>
  </w:style>
  <w:style w:type="table" w:customStyle="1" w:styleId="22">
    <w:name w:val="Table Normal"/>
    <w:unhideWhenUsed/>
    <w:qFormat/>
    <w:uiPriority w:val="2"/>
    <w:tblPr>
      <w:tblCellMar>
        <w:top w:w="0" w:type="dxa"/>
        <w:left w:w="0" w:type="dxa"/>
        <w:bottom w:w="0" w:type="dxa"/>
        <w:right w:w="0" w:type="dxa"/>
      </w:tblCellMar>
    </w:tblPr>
  </w:style>
  <w:style w:type="paragraph" w:customStyle="1" w:styleId="23">
    <w:name w:val="列出段落1"/>
    <w:basedOn w:val="1"/>
    <w:qFormat/>
    <w:uiPriority w:val="1"/>
    <w:pPr>
      <w:ind w:left="116" w:hanging="735"/>
    </w:pPr>
  </w:style>
  <w:style w:type="paragraph" w:customStyle="1" w:styleId="24">
    <w:name w:val="Table Paragraph"/>
    <w:basedOn w:val="1"/>
    <w:qFormat/>
    <w:uiPriority w:val="0"/>
  </w:style>
  <w:style w:type="character" w:customStyle="1" w:styleId="25">
    <w:name w:val="批注框文本 Char"/>
    <w:basedOn w:val="20"/>
    <w:link w:val="13"/>
    <w:qFormat/>
    <w:uiPriority w:val="0"/>
    <w:rPr>
      <w:rFonts w:ascii="宋体" w:hAnsi="宋体" w:eastAsia="宋体" w:cs="宋体"/>
      <w:sz w:val="18"/>
      <w:szCs w:val="18"/>
      <w:lang w:eastAsia="en-US"/>
    </w:rPr>
  </w:style>
  <w:style w:type="character" w:customStyle="1" w:styleId="26">
    <w:name w:val="文档结构图 Char"/>
    <w:basedOn w:val="20"/>
    <w:link w:val="9"/>
    <w:qFormat/>
    <w:uiPriority w:val="0"/>
    <w:rPr>
      <w:rFonts w:ascii="宋体" w:hAnsi="宋体" w:eastAsia="宋体" w:cs="宋体"/>
      <w:sz w:val="18"/>
      <w:szCs w:val="18"/>
      <w:lang w:eastAsia="en-US"/>
    </w:rPr>
  </w:style>
  <w:style w:type="character" w:customStyle="1" w:styleId="27">
    <w:name w:val="页眉 Char"/>
    <w:basedOn w:val="20"/>
    <w:link w:val="15"/>
    <w:qFormat/>
    <w:uiPriority w:val="99"/>
    <w:rPr>
      <w:rFonts w:ascii="宋体" w:hAnsi="宋体" w:eastAsia="宋体" w:cs="宋体"/>
      <w:sz w:val="18"/>
      <w:szCs w:val="18"/>
      <w:lang w:eastAsia="en-US"/>
    </w:rPr>
  </w:style>
  <w:style w:type="character" w:customStyle="1" w:styleId="28">
    <w:name w:val="页脚 Char"/>
    <w:basedOn w:val="20"/>
    <w:link w:val="14"/>
    <w:qFormat/>
    <w:uiPriority w:val="99"/>
    <w:rPr>
      <w:rFonts w:ascii="宋体" w:hAnsi="宋体" w:eastAsia="宋体" w:cs="宋体"/>
      <w:sz w:val="18"/>
      <w:szCs w:val="18"/>
      <w:lang w:eastAsia="en-US"/>
    </w:rPr>
  </w:style>
  <w:style w:type="paragraph" w:customStyle="1" w:styleId="29">
    <w:name w:val="修订1"/>
    <w:hidden/>
    <w:unhideWhenUsed/>
    <w:qFormat/>
    <w:uiPriority w:val="99"/>
    <w:rPr>
      <w:rFonts w:ascii="宋体" w:hAnsi="宋体" w:eastAsia="宋体" w:cs="宋体"/>
      <w:sz w:val="22"/>
      <w:szCs w:val="22"/>
      <w:lang w:val="en-US" w:eastAsia="en-US" w:bidi="ar-SA"/>
    </w:rPr>
  </w:style>
  <w:style w:type="character" w:customStyle="1" w:styleId="30">
    <w:name w:val="标题 4 Char"/>
    <w:link w:val="5"/>
    <w:qFormat/>
    <w:locked/>
    <w:uiPriority w:val="1"/>
    <w:rPr>
      <w:rFonts w:ascii="黑体" w:hAnsi="黑体" w:eastAsia="黑体" w:cs="黑体"/>
      <w:sz w:val="32"/>
      <w:szCs w:val="32"/>
      <w:lang w:eastAsia="en-US"/>
    </w:rPr>
  </w:style>
  <w:style w:type="paragraph" w:customStyle="1" w:styleId="31">
    <w:name w:val="列出段落2"/>
    <w:basedOn w:val="1"/>
    <w:unhideWhenUsed/>
    <w:qFormat/>
    <w:uiPriority w:val="99"/>
    <w:pPr>
      <w:ind w:firstLine="420" w:firstLineChars="200"/>
    </w:pPr>
  </w:style>
  <w:style w:type="character" w:customStyle="1" w:styleId="32">
    <w:name w:val="标题 3 Char"/>
    <w:basedOn w:val="20"/>
    <w:link w:val="4"/>
    <w:qFormat/>
    <w:uiPriority w:val="1"/>
    <w:rPr>
      <w:rFonts w:ascii="宋体" w:hAnsi="宋体" w:eastAsia="宋体" w:cs="宋体"/>
      <w:b/>
      <w:bCs/>
      <w:sz w:val="32"/>
      <w:szCs w:val="32"/>
      <w:lang w:eastAsia="en-US"/>
    </w:rPr>
  </w:style>
  <w:style w:type="character" w:customStyle="1" w:styleId="33">
    <w:name w:val="日期 Char"/>
    <w:basedOn w:val="20"/>
    <w:link w:val="12"/>
    <w:qFormat/>
    <w:uiPriority w:val="0"/>
    <w:rPr>
      <w:rFonts w:ascii="宋体" w:hAnsi="宋体" w:eastAsia="宋体" w:cs="宋体"/>
      <w:sz w:val="22"/>
      <w:szCs w:val="22"/>
      <w:lang w:eastAsia="en-US"/>
    </w:rPr>
  </w:style>
  <w:style w:type="character" w:customStyle="1" w:styleId="34">
    <w:name w:val="标题 2 Char"/>
    <w:link w:val="3"/>
    <w:qFormat/>
    <w:uiPriority w:val="9"/>
    <w:rPr>
      <w:rFonts w:ascii="宋体" w:hAnsi="宋体" w:cs="宋体"/>
      <w:sz w:val="82"/>
      <w:szCs w:val="82"/>
      <w:lang w:eastAsia="en-US"/>
    </w:rPr>
  </w:style>
  <w:style w:type="paragraph" w:styleId="35">
    <w:name w:val="List Paragraph"/>
    <w:basedOn w:val="1"/>
    <w:unhideWhenUsed/>
    <w:qFormat/>
    <w:uiPriority w:val="99"/>
    <w:pPr>
      <w:ind w:firstLine="420" w:firstLineChars="200"/>
    </w:pPr>
  </w:style>
  <w:style w:type="character" w:customStyle="1" w:styleId="36">
    <w:name w:val="纯文本 Char"/>
    <w:basedOn w:val="20"/>
    <w:link w:val="11"/>
    <w:qFormat/>
    <w:uiPriority w:val="0"/>
    <w:rPr>
      <w:rFonts w:ascii="宋体" w:hAnsi="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86"/>
    <customShpInfo spid="_x0000_s2058"/>
    <customShpInfo spid="_x0000_s205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MIIT</Company>
  <Pages>22</Pages>
  <Words>2829</Words>
  <Characters>16128</Characters>
  <Lines>134</Lines>
  <Paragraphs>37</Paragraphs>
  <TotalTime>2610</TotalTime>
  <ScaleCrop>false</ScaleCrop>
  <LinksUpToDate>false</LinksUpToDate>
  <CharactersWithSpaces>18920</CharactersWithSpaces>
  <Application>WPS Office_11.8.2.9695_F1E327BC-269C-435d-A152-05C5408002CA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2018-02-02T17:32:00Z</dcterms:created>
  <dc:creator>Administrator</dc:creator>
  <cp:lastModifiedBy>thtf</cp:lastModifiedBy>
  <cp:lastPrinted>2018-10-30T17:02:00Z</cp:lastPrinted>
  <dcterms:modified xsi:type="dcterms:W3CDTF">2022-02-08T10:14:27Z</dcterms:modified>
  <dc:title>封面.cdr</dc:title>
  <cp:revision>160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2017-11-04T00:00:00Z</vt:filetime>
  </property>
  <property fmtid="{D5CDD505-2E9C-101B-9397-08002B2CF9AE}" pid="3" name="Creator">
    <vt:lpwstr>Adobe Acrobat Pro 9.0.0</vt:lpwstr>
  </property>
  <property fmtid="{D5CDD505-2E9C-101B-9397-08002B2CF9AE}" pid="4" name="LastSaved">
    <vt:filetime>2018-02-02T00:00:00Z</vt:filetime>
  </property>
  <property fmtid="{D5CDD505-2E9C-101B-9397-08002B2CF9AE}" pid="5" name="KSOProductBuildVer">
    <vt:lpwstr>2052-11.8.2.9695</vt:lpwstr>
  </property>
</Properties>
</file>